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E8E7" w14:textId="77777777" w:rsidR="00612C3A" w:rsidRDefault="00612C3A">
      <w:pPr>
        <w:pStyle w:val="BodyText"/>
        <w:rPr>
          <w:rFonts w:ascii="Times New Roman"/>
          <w:sz w:val="20"/>
        </w:rPr>
      </w:pPr>
    </w:p>
    <w:p w14:paraId="18CD29E7" w14:textId="77777777" w:rsidR="000133EC" w:rsidRDefault="000133EC" w:rsidP="00D30690">
      <w:pPr>
        <w:spacing w:before="105" w:line="237" w:lineRule="auto"/>
        <w:ind w:left="606" w:right="1016"/>
        <w:jc w:val="center"/>
        <w:rPr>
          <w:rFonts w:ascii="Verdana" w:eastAsia="Verdana" w:hAnsi="Verdana" w:cs="Verdana"/>
          <w:b/>
          <w:sz w:val="48"/>
        </w:rPr>
      </w:pPr>
    </w:p>
    <w:p w14:paraId="01B9CE72" w14:textId="41B95326" w:rsidR="00D30690" w:rsidRDefault="00D30690" w:rsidP="00D30690">
      <w:pPr>
        <w:spacing w:before="105" w:line="237" w:lineRule="auto"/>
        <w:ind w:left="606" w:right="1016"/>
        <w:jc w:val="center"/>
        <w:rPr>
          <w:rFonts w:ascii="Verdana" w:eastAsia="Verdana" w:hAnsi="Verdana" w:cs="Verdana"/>
          <w:b/>
          <w:sz w:val="48"/>
        </w:rPr>
      </w:pPr>
      <w:r>
        <w:rPr>
          <w:rFonts w:ascii="Verdana" w:eastAsia="Verdana" w:hAnsi="Verdana" w:cs="Verdana"/>
          <w:b/>
          <w:sz w:val="48"/>
        </w:rPr>
        <w:t>THE QUINN CENTRE</w:t>
      </w:r>
      <w:r w:rsidRPr="00D30690">
        <w:rPr>
          <w:rFonts w:ascii="Verdana" w:eastAsia="Verdana" w:hAnsi="Verdana" w:cs="Verdana"/>
          <w:b/>
          <w:sz w:val="48"/>
        </w:rPr>
        <w:t xml:space="preserve"> </w:t>
      </w:r>
      <w:r>
        <w:rPr>
          <w:rFonts w:ascii="Verdana" w:eastAsia="Verdana" w:hAnsi="Verdana" w:cs="Verdana"/>
          <w:b/>
          <w:sz w:val="48"/>
        </w:rPr>
        <w:t>PRIVACY POLICY AND PROCEEDURE</w:t>
      </w:r>
    </w:p>
    <w:p w14:paraId="5031ADCD" w14:textId="77777777" w:rsidR="00D30690" w:rsidRDefault="00D30690" w:rsidP="00D30690">
      <w:pPr>
        <w:spacing w:before="105" w:line="237" w:lineRule="auto"/>
        <w:ind w:left="606" w:right="1016"/>
        <w:jc w:val="center"/>
        <w:rPr>
          <w:rFonts w:ascii="Verdana" w:eastAsia="Verdana" w:hAnsi="Verdana" w:cs="Verdana"/>
          <w:b/>
          <w:sz w:val="48"/>
        </w:rPr>
      </w:pPr>
      <w:r w:rsidRPr="00D30690">
        <w:rPr>
          <w:rFonts w:ascii="Verdana" w:eastAsia="Verdana" w:hAnsi="Verdana" w:cs="Verdana"/>
          <w:b/>
          <w:sz w:val="48"/>
        </w:rPr>
        <w:t xml:space="preserve"> 2018/19</w:t>
      </w:r>
    </w:p>
    <w:p w14:paraId="1CE568C5" w14:textId="77777777" w:rsidR="00D30690" w:rsidRDefault="00D30690" w:rsidP="00D30690">
      <w:pPr>
        <w:spacing w:before="105" w:line="237" w:lineRule="auto"/>
        <w:ind w:left="606" w:right="1016"/>
        <w:jc w:val="center"/>
        <w:rPr>
          <w:rFonts w:ascii="Verdana" w:eastAsia="Verdana" w:hAnsi="Verdana" w:cs="Verdana"/>
          <w:b/>
          <w:sz w:val="48"/>
        </w:rPr>
      </w:pPr>
    </w:p>
    <w:p w14:paraId="27F10923" w14:textId="77777777" w:rsidR="00D30690" w:rsidRPr="00D30690" w:rsidRDefault="00D30690" w:rsidP="00D30690">
      <w:pPr>
        <w:spacing w:before="105" w:line="237" w:lineRule="auto"/>
        <w:ind w:left="606" w:right="1016"/>
        <w:jc w:val="center"/>
        <w:rPr>
          <w:rFonts w:ascii="Verdana" w:eastAsia="Verdana" w:hAnsi="Verdana" w:cs="Verdana"/>
          <w:b/>
          <w:sz w:val="48"/>
        </w:rPr>
      </w:pPr>
    </w:p>
    <w:p w14:paraId="64F846B3" w14:textId="77777777" w:rsidR="00D30690" w:rsidRPr="00D30690" w:rsidRDefault="00D30690" w:rsidP="00D30690">
      <w:pPr>
        <w:spacing w:before="5"/>
        <w:rPr>
          <w:rFonts w:ascii="Verdana" w:eastAsia="Verdana" w:hAnsi="Verdana" w:cs="Verdana"/>
          <w:b/>
          <w:sz w:val="54"/>
        </w:rPr>
      </w:pPr>
    </w:p>
    <w:p w14:paraId="23BD29B4" w14:textId="77777777" w:rsidR="00D30690" w:rsidRPr="00D30690" w:rsidRDefault="00D30690" w:rsidP="00D30690">
      <w:pPr>
        <w:spacing w:before="1"/>
        <w:ind w:left="255"/>
        <w:outlineLvl w:val="2"/>
        <w:rPr>
          <w:rFonts w:ascii="Verdana" w:eastAsia="Verdana" w:hAnsi="Verdana" w:cs="Verdana"/>
          <w:b/>
          <w:bCs/>
          <w:sz w:val="28"/>
          <w:szCs w:val="28"/>
        </w:rPr>
      </w:pPr>
      <w:r>
        <w:rPr>
          <w:rFonts w:ascii="Verdana" w:eastAsia="Verdana" w:hAnsi="Verdana" w:cs="Verdana"/>
          <w:b/>
          <w:bCs/>
          <w:sz w:val="28"/>
          <w:szCs w:val="28"/>
        </w:rPr>
        <w:t>THE QUINN CENTRE</w:t>
      </w:r>
    </w:p>
    <w:p w14:paraId="2AF5AEB7" w14:textId="77777777" w:rsidR="00D30690" w:rsidRPr="00D30690" w:rsidRDefault="00D30690" w:rsidP="00D30690">
      <w:pPr>
        <w:ind w:left="255" w:right="755"/>
        <w:rPr>
          <w:rFonts w:ascii="Verdana" w:eastAsia="Verdana" w:hAnsi="Verdana" w:cs="Verdana"/>
          <w:b/>
          <w:sz w:val="28"/>
        </w:rPr>
      </w:pPr>
      <w:r w:rsidRPr="00D30690">
        <w:rPr>
          <w:rFonts w:ascii="Verdana" w:eastAsia="Verdana" w:hAnsi="Verdana" w:cs="Verdana"/>
          <w:b/>
          <w:sz w:val="28"/>
        </w:rPr>
        <w:t>54 PALACE GATES ROAD, ALEXANDRA PALACE</w:t>
      </w:r>
    </w:p>
    <w:p w14:paraId="2E3C7188" w14:textId="77777777" w:rsidR="00D30690" w:rsidRPr="00D30690" w:rsidRDefault="00D30690" w:rsidP="00D30690">
      <w:pPr>
        <w:ind w:left="255" w:right="755"/>
        <w:rPr>
          <w:rFonts w:ascii="Verdana" w:eastAsia="Verdana" w:hAnsi="Verdana" w:cs="Verdana"/>
          <w:b/>
          <w:sz w:val="28"/>
        </w:rPr>
      </w:pPr>
      <w:r w:rsidRPr="00D30690">
        <w:rPr>
          <w:rFonts w:ascii="Verdana" w:eastAsia="Verdana" w:hAnsi="Verdana" w:cs="Verdana"/>
          <w:b/>
          <w:sz w:val="28"/>
        </w:rPr>
        <w:t>LONDON</w:t>
      </w:r>
    </w:p>
    <w:p w14:paraId="5FDC3A15" w14:textId="77777777" w:rsidR="00D30690" w:rsidRPr="00D30690" w:rsidRDefault="00D30690" w:rsidP="00D30690">
      <w:pPr>
        <w:ind w:left="255" w:right="755"/>
        <w:rPr>
          <w:rFonts w:ascii="Verdana" w:eastAsia="Verdana" w:hAnsi="Verdana" w:cs="Verdana"/>
          <w:b/>
          <w:sz w:val="28"/>
        </w:rPr>
      </w:pPr>
      <w:r w:rsidRPr="00D30690">
        <w:rPr>
          <w:rFonts w:ascii="Verdana" w:eastAsia="Verdana" w:hAnsi="Verdana" w:cs="Verdana"/>
          <w:b/>
          <w:sz w:val="28"/>
        </w:rPr>
        <w:t>N22 7BL</w:t>
      </w:r>
    </w:p>
    <w:p w14:paraId="1EAD2301" w14:textId="77777777" w:rsidR="00D30690" w:rsidRPr="00D30690" w:rsidRDefault="00D30690" w:rsidP="00D30690">
      <w:pPr>
        <w:ind w:left="255" w:right="755"/>
        <w:rPr>
          <w:rFonts w:ascii="Verdana" w:eastAsia="Verdana" w:hAnsi="Verdana" w:cs="Verdana"/>
          <w:b/>
          <w:sz w:val="28"/>
        </w:rPr>
      </w:pPr>
    </w:p>
    <w:p w14:paraId="73249C00" w14:textId="77777777" w:rsidR="00D30690" w:rsidRPr="00D30690" w:rsidRDefault="00D30690" w:rsidP="00D30690">
      <w:pPr>
        <w:spacing w:before="1"/>
        <w:ind w:left="255"/>
        <w:outlineLvl w:val="3"/>
        <w:rPr>
          <w:rFonts w:ascii="Verdana" w:eastAsia="Arial" w:hAnsi="Arial" w:cs="Arial"/>
          <w:sz w:val="28"/>
          <w:szCs w:val="28"/>
        </w:rPr>
      </w:pPr>
      <w:r w:rsidRPr="00D30690">
        <w:rPr>
          <w:rFonts w:ascii="Verdana" w:eastAsia="Arial" w:hAnsi="Arial" w:cs="Arial"/>
          <w:sz w:val="28"/>
          <w:szCs w:val="28"/>
        </w:rPr>
        <w:t>Director: Thomas Herreboudt</w:t>
      </w:r>
    </w:p>
    <w:p w14:paraId="5E81A682" w14:textId="77777777" w:rsidR="00D30690" w:rsidRPr="00D30690" w:rsidRDefault="00D30690" w:rsidP="00D30690">
      <w:pPr>
        <w:spacing w:before="1"/>
        <w:ind w:left="255"/>
        <w:outlineLvl w:val="3"/>
        <w:rPr>
          <w:rFonts w:ascii="Verdana" w:eastAsia="Arial" w:hAnsi="Arial" w:cs="Arial"/>
          <w:sz w:val="28"/>
          <w:szCs w:val="28"/>
        </w:rPr>
      </w:pPr>
      <w:r w:rsidRPr="00D30690">
        <w:rPr>
          <w:rFonts w:ascii="Arial" w:eastAsia="Arial" w:hAnsi="Arial" w:cs="Arial"/>
          <w:sz w:val="28"/>
          <w:szCs w:val="28"/>
        </w:rPr>
        <w:t>Tom.herreboudt@outlook.com</w:t>
      </w:r>
    </w:p>
    <w:p w14:paraId="2EDDA278" w14:textId="77777777" w:rsidR="00D30690" w:rsidRPr="00D30690" w:rsidRDefault="00D30690" w:rsidP="00D30690">
      <w:pPr>
        <w:spacing w:before="1"/>
        <w:ind w:left="255"/>
        <w:outlineLvl w:val="3"/>
        <w:rPr>
          <w:rFonts w:ascii="Verdana" w:eastAsia="Arial" w:hAnsi="Arial" w:cs="Arial"/>
          <w:sz w:val="28"/>
          <w:szCs w:val="28"/>
        </w:rPr>
      </w:pPr>
      <w:r w:rsidRPr="00D30690">
        <w:rPr>
          <w:rFonts w:ascii="Verdana" w:eastAsia="Arial" w:hAnsi="Arial" w:cs="Arial"/>
          <w:sz w:val="28"/>
          <w:szCs w:val="28"/>
        </w:rPr>
        <w:t>07808 857 530</w:t>
      </w:r>
    </w:p>
    <w:p w14:paraId="07AE95E3" w14:textId="77777777" w:rsidR="00D30690" w:rsidRPr="00D30690" w:rsidRDefault="00D30690" w:rsidP="00D30690">
      <w:pPr>
        <w:spacing w:before="1"/>
        <w:ind w:left="255"/>
        <w:outlineLvl w:val="3"/>
        <w:rPr>
          <w:rFonts w:ascii="Verdana" w:eastAsia="Arial" w:hAnsi="Arial" w:cs="Arial"/>
          <w:sz w:val="28"/>
          <w:szCs w:val="28"/>
        </w:rPr>
      </w:pPr>
    </w:p>
    <w:p w14:paraId="4FB8D318" w14:textId="77777777" w:rsidR="00D30690" w:rsidRDefault="00D30690">
      <w:pPr>
        <w:pStyle w:val="BodyText"/>
        <w:rPr>
          <w:rFonts w:ascii="Times New Roman"/>
          <w:sz w:val="20"/>
        </w:rPr>
      </w:pPr>
    </w:p>
    <w:tbl>
      <w:tblPr>
        <w:tblStyle w:val="TableGrid"/>
        <w:tblpPr w:leftFromText="180" w:rightFromText="180" w:vertAnchor="text" w:horzAnchor="margin" w:tblpY="10"/>
        <w:tblW w:w="9170" w:type="dxa"/>
        <w:tblLook w:val="04A0" w:firstRow="1" w:lastRow="0" w:firstColumn="1" w:lastColumn="0" w:noHBand="0" w:noVBand="1"/>
      </w:tblPr>
      <w:tblGrid>
        <w:gridCol w:w="4585"/>
        <w:gridCol w:w="4585"/>
      </w:tblGrid>
      <w:tr w:rsidR="00D30690" w14:paraId="3F24CF22" w14:textId="77777777" w:rsidTr="00D30690">
        <w:tc>
          <w:tcPr>
            <w:tcW w:w="4585" w:type="dxa"/>
          </w:tcPr>
          <w:p w14:paraId="00873150" w14:textId="77777777" w:rsidR="00D30690" w:rsidRDefault="00D30690" w:rsidP="00D30690">
            <w:pPr>
              <w:pStyle w:val="TableParagraph"/>
              <w:spacing w:before="7"/>
              <w:ind w:left="47"/>
              <w:rPr>
                <w:b/>
              </w:rPr>
            </w:pPr>
            <w:r>
              <w:rPr>
                <w:b/>
              </w:rPr>
              <w:t>This policy was approved by the</w:t>
            </w:r>
          </w:p>
          <w:p w14:paraId="5D7B8BA0" w14:textId="77777777" w:rsidR="00D30690" w:rsidRDefault="00D30690" w:rsidP="00D30690">
            <w:pPr>
              <w:pStyle w:val="TableParagraph"/>
              <w:spacing w:before="143"/>
              <w:ind w:left="107"/>
              <w:rPr>
                <w:b/>
              </w:rPr>
            </w:pPr>
            <w:r>
              <w:rPr>
                <w:b/>
              </w:rPr>
              <w:t>Director</w:t>
            </w:r>
          </w:p>
        </w:tc>
        <w:tc>
          <w:tcPr>
            <w:tcW w:w="4585" w:type="dxa"/>
          </w:tcPr>
          <w:p w14:paraId="67A8507E" w14:textId="77777777" w:rsidR="00D30690" w:rsidRDefault="00D30690" w:rsidP="00D30690">
            <w:pPr>
              <w:pStyle w:val="TableParagraph"/>
              <w:ind w:left="107"/>
            </w:pPr>
            <w:r>
              <w:t>August 2019</w:t>
            </w:r>
          </w:p>
        </w:tc>
      </w:tr>
      <w:tr w:rsidR="00D30690" w14:paraId="2CF25639" w14:textId="77777777" w:rsidTr="00D30690">
        <w:trPr>
          <w:trHeight w:val="566"/>
        </w:trPr>
        <w:tc>
          <w:tcPr>
            <w:tcW w:w="4585" w:type="dxa"/>
          </w:tcPr>
          <w:p w14:paraId="022B31A2" w14:textId="77777777" w:rsidR="00D30690" w:rsidRDefault="00D30690" w:rsidP="00D30690">
            <w:pPr>
              <w:pStyle w:val="TableParagraph"/>
              <w:spacing w:before="7"/>
              <w:ind w:left="107"/>
              <w:rPr>
                <w:b/>
              </w:rPr>
            </w:pPr>
            <w:r>
              <w:rPr>
                <w:b/>
              </w:rPr>
              <w:t>Signed on behalf of The Quinn Centre</w:t>
            </w:r>
          </w:p>
        </w:tc>
        <w:tc>
          <w:tcPr>
            <w:tcW w:w="4585" w:type="dxa"/>
          </w:tcPr>
          <w:p w14:paraId="4E1BC501" w14:textId="77777777" w:rsidR="00D30690" w:rsidRDefault="00D30690" w:rsidP="00D30690">
            <w:pPr>
              <w:pStyle w:val="TableParagraph"/>
              <w:spacing w:before="11"/>
              <w:rPr>
                <w:sz w:val="14"/>
              </w:rPr>
            </w:pPr>
          </w:p>
          <w:p w14:paraId="1A619734" w14:textId="2F84622E" w:rsidR="00D30690" w:rsidRDefault="003546A4" w:rsidP="00D30690">
            <w:pPr>
              <w:pStyle w:val="TableParagraph"/>
              <w:ind w:left="149"/>
              <w:rPr>
                <w:sz w:val="20"/>
              </w:rPr>
            </w:pPr>
            <w:bookmarkStart w:id="0" w:name="_GoBack"/>
            <w:bookmarkEnd w:id="0"/>
            <w:r w:rsidRPr="003546A4">
              <w:rPr>
                <w:noProof/>
                <w:sz w:val="20"/>
              </w:rPr>
              <w:drawing>
                <wp:inline distT="0" distB="0" distL="0" distR="0" wp14:anchorId="55026900" wp14:editId="659F68CD">
                  <wp:extent cx="1442085"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654050"/>
                          </a:xfrm>
                          <a:prstGeom prst="rect">
                            <a:avLst/>
                          </a:prstGeom>
                          <a:noFill/>
                          <a:ln>
                            <a:noFill/>
                          </a:ln>
                        </pic:spPr>
                      </pic:pic>
                    </a:graphicData>
                  </a:graphic>
                </wp:inline>
              </w:drawing>
            </w:r>
          </w:p>
        </w:tc>
      </w:tr>
      <w:tr w:rsidR="00D30690" w14:paraId="12AF41EC" w14:textId="77777777" w:rsidTr="00D30690">
        <w:trPr>
          <w:trHeight w:val="560"/>
        </w:trPr>
        <w:tc>
          <w:tcPr>
            <w:tcW w:w="4585" w:type="dxa"/>
          </w:tcPr>
          <w:p w14:paraId="67E28240" w14:textId="77777777" w:rsidR="00D30690" w:rsidRDefault="00D30690" w:rsidP="00D30690">
            <w:pPr>
              <w:pStyle w:val="TableParagraph"/>
              <w:spacing w:before="7"/>
              <w:ind w:left="107"/>
              <w:rPr>
                <w:b/>
              </w:rPr>
            </w:pPr>
            <w:r>
              <w:rPr>
                <w:b/>
              </w:rPr>
              <w:t>Date disseminated to staff</w:t>
            </w:r>
          </w:p>
        </w:tc>
        <w:tc>
          <w:tcPr>
            <w:tcW w:w="4585" w:type="dxa"/>
          </w:tcPr>
          <w:p w14:paraId="77ABBE45" w14:textId="77777777" w:rsidR="00D30690" w:rsidRDefault="00D30690" w:rsidP="00D30690">
            <w:pPr>
              <w:pStyle w:val="TableParagraph"/>
              <w:ind w:left="107"/>
            </w:pPr>
            <w:r>
              <w:t>August 2019</w:t>
            </w:r>
          </w:p>
        </w:tc>
      </w:tr>
      <w:tr w:rsidR="00D30690" w14:paraId="79156FB7" w14:textId="77777777" w:rsidTr="00D30690">
        <w:trPr>
          <w:trHeight w:val="554"/>
        </w:trPr>
        <w:tc>
          <w:tcPr>
            <w:tcW w:w="4585" w:type="dxa"/>
          </w:tcPr>
          <w:p w14:paraId="6880C117" w14:textId="77777777" w:rsidR="00D30690" w:rsidRDefault="00D30690" w:rsidP="00D30690">
            <w:pPr>
              <w:pStyle w:val="TableParagraph"/>
              <w:spacing w:before="7"/>
              <w:ind w:left="107"/>
              <w:rPr>
                <w:b/>
              </w:rPr>
            </w:pPr>
            <w:r>
              <w:rPr>
                <w:b/>
              </w:rPr>
              <w:t>Date for review</w:t>
            </w:r>
          </w:p>
        </w:tc>
        <w:tc>
          <w:tcPr>
            <w:tcW w:w="4585" w:type="dxa"/>
          </w:tcPr>
          <w:p w14:paraId="2E7C7EB3" w14:textId="77777777" w:rsidR="00D30690" w:rsidRDefault="00D30690" w:rsidP="00D30690">
            <w:pPr>
              <w:pStyle w:val="TableParagraph"/>
              <w:ind w:left="107"/>
            </w:pPr>
            <w:r>
              <w:t>July 2020</w:t>
            </w:r>
          </w:p>
        </w:tc>
      </w:tr>
    </w:tbl>
    <w:p w14:paraId="466BC5C0" w14:textId="77777777" w:rsidR="00D30690" w:rsidRDefault="00D30690">
      <w:pPr>
        <w:pStyle w:val="BodyText"/>
        <w:rPr>
          <w:rFonts w:ascii="Times New Roman"/>
          <w:sz w:val="20"/>
        </w:rPr>
      </w:pPr>
    </w:p>
    <w:p w14:paraId="2F8E43C6" w14:textId="77777777" w:rsidR="00D30690" w:rsidRDefault="00D30690">
      <w:pPr>
        <w:pStyle w:val="BodyText"/>
        <w:rPr>
          <w:rFonts w:ascii="Times New Roman"/>
          <w:sz w:val="20"/>
        </w:rPr>
      </w:pPr>
    </w:p>
    <w:p w14:paraId="7FCAC16B" w14:textId="77777777" w:rsidR="00D30690" w:rsidRDefault="00D30690">
      <w:pPr>
        <w:pStyle w:val="BodyText"/>
        <w:rPr>
          <w:rFonts w:ascii="Times New Roman"/>
          <w:sz w:val="20"/>
        </w:rPr>
      </w:pPr>
    </w:p>
    <w:p w14:paraId="206B1272" w14:textId="77777777" w:rsidR="00D30690" w:rsidRDefault="00D30690">
      <w:pPr>
        <w:pStyle w:val="BodyText"/>
        <w:rPr>
          <w:rFonts w:ascii="Times New Roman"/>
          <w:sz w:val="20"/>
        </w:rPr>
      </w:pPr>
    </w:p>
    <w:p w14:paraId="46AF5A88" w14:textId="77777777" w:rsidR="00D30690" w:rsidRDefault="00D30690">
      <w:pPr>
        <w:pStyle w:val="BodyText"/>
        <w:rPr>
          <w:rFonts w:ascii="Times New Roman"/>
          <w:sz w:val="20"/>
        </w:rPr>
      </w:pPr>
    </w:p>
    <w:p w14:paraId="5030F94F" w14:textId="77777777" w:rsidR="00D30690" w:rsidRDefault="00D30690">
      <w:pPr>
        <w:pStyle w:val="BodyText"/>
        <w:rPr>
          <w:rFonts w:ascii="Times New Roman"/>
          <w:sz w:val="20"/>
        </w:rPr>
      </w:pPr>
    </w:p>
    <w:p w14:paraId="01D926BE" w14:textId="77777777" w:rsidR="00D30690" w:rsidRDefault="00D30690">
      <w:pPr>
        <w:pStyle w:val="BodyText"/>
        <w:rPr>
          <w:rFonts w:ascii="Times New Roman"/>
          <w:sz w:val="20"/>
        </w:rPr>
      </w:pPr>
    </w:p>
    <w:p w14:paraId="02AFEEBD" w14:textId="77777777" w:rsidR="00D30690" w:rsidRDefault="00D30690">
      <w:pPr>
        <w:pStyle w:val="BodyText"/>
        <w:rPr>
          <w:rFonts w:ascii="Times New Roman"/>
          <w:sz w:val="20"/>
        </w:rPr>
      </w:pPr>
    </w:p>
    <w:p w14:paraId="3266867B" w14:textId="77777777" w:rsidR="00D30690" w:rsidRDefault="00D30690">
      <w:pPr>
        <w:pStyle w:val="BodyText"/>
        <w:rPr>
          <w:rFonts w:ascii="Times New Roman"/>
          <w:sz w:val="20"/>
        </w:rPr>
      </w:pPr>
    </w:p>
    <w:p w14:paraId="2241E18A" w14:textId="77777777" w:rsidR="00D30690" w:rsidRDefault="00D30690">
      <w:pPr>
        <w:pStyle w:val="BodyText"/>
        <w:rPr>
          <w:rFonts w:ascii="Times New Roman"/>
          <w:sz w:val="20"/>
        </w:rPr>
      </w:pPr>
    </w:p>
    <w:p w14:paraId="54763A8E" w14:textId="77777777" w:rsidR="00D30690" w:rsidRDefault="00D30690">
      <w:pPr>
        <w:pStyle w:val="BodyText"/>
        <w:rPr>
          <w:rFonts w:ascii="Times New Roman"/>
          <w:sz w:val="20"/>
        </w:rPr>
      </w:pPr>
    </w:p>
    <w:p w14:paraId="56B1481B" w14:textId="77777777" w:rsidR="00D30690" w:rsidRDefault="00D30690">
      <w:pPr>
        <w:pStyle w:val="BodyText"/>
        <w:rPr>
          <w:rFonts w:ascii="Times New Roman"/>
          <w:sz w:val="20"/>
        </w:rPr>
      </w:pPr>
    </w:p>
    <w:p w14:paraId="6A280A93" w14:textId="77777777" w:rsidR="00D30690" w:rsidRDefault="00D30690">
      <w:pPr>
        <w:pStyle w:val="BodyText"/>
        <w:rPr>
          <w:rFonts w:ascii="Times New Roman"/>
          <w:sz w:val="20"/>
        </w:rPr>
      </w:pPr>
    </w:p>
    <w:p w14:paraId="1D2A9048" w14:textId="77777777" w:rsidR="00D30690" w:rsidRDefault="00D30690">
      <w:pPr>
        <w:pStyle w:val="BodyText"/>
        <w:rPr>
          <w:rFonts w:ascii="Times New Roman"/>
          <w:sz w:val="20"/>
        </w:rPr>
      </w:pPr>
    </w:p>
    <w:p w14:paraId="04EDDCB2" w14:textId="77777777" w:rsidR="00612C3A" w:rsidRDefault="00D30690" w:rsidP="00D30690">
      <w:pPr>
        <w:pStyle w:val="Heading1"/>
        <w:spacing w:before="195"/>
        <w:ind w:left="0" w:firstLine="0"/>
      </w:pPr>
      <w:r>
        <w:t>THE QUINN CENTRE</w:t>
      </w:r>
      <w:r w:rsidR="00EB6D7C">
        <w:t xml:space="preserve"> PRIVACY POLICY AND PROCEEDURE</w:t>
      </w:r>
    </w:p>
    <w:p w14:paraId="34385788" w14:textId="77777777" w:rsidR="00612C3A" w:rsidRDefault="00612C3A">
      <w:pPr>
        <w:pStyle w:val="BodyText"/>
        <w:rPr>
          <w:b/>
          <w:sz w:val="20"/>
        </w:rPr>
      </w:pPr>
    </w:p>
    <w:p w14:paraId="7082BF17" w14:textId="77777777" w:rsidR="00612C3A" w:rsidRDefault="00D30690">
      <w:pPr>
        <w:pStyle w:val="BodyText"/>
        <w:spacing w:before="57"/>
        <w:ind w:left="100" w:right="147"/>
      </w:pPr>
      <w:r>
        <w:rPr>
          <w:color w:val="000003"/>
        </w:rPr>
        <w:t>The Quinn Centre</w:t>
      </w:r>
      <w:r w:rsidR="00EB6D7C">
        <w:rPr>
          <w:color w:val="000003"/>
        </w:rPr>
        <w:t xml:space="preserve"> takes the privacy of all of its participants and supporters very seriously and is committed to respecting and protecting your personal information. We aim to be transparent about what information we hold about you, whichever way you are connected with us.</w:t>
      </w:r>
    </w:p>
    <w:p w14:paraId="62E9C885" w14:textId="77777777" w:rsidR="00612C3A" w:rsidRDefault="00612C3A">
      <w:pPr>
        <w:pStyle w:val="BodyText"/>
        <w:rPr>
          <w:sz w:val="23"/>
        </w:rPr>
      </w:pPr>
    </w:p>
    <w:p w14:paraId="3DBE7733" w14:textId="77777777" w:rsidR="00612C3A" w:rsidRDefault="00EB6D7C">
      <w:pPr>
        <w:pStyle w:val="BodyText"/>
        <w:ind w:left="100" w:right="967"/>
      </w:pPr>
      <w:r>
        <w:rPr>
          <w:color w:val="000003"/>
        </w:rPr>
        <w:t xml:space="preserve">The purpose of this policy is to explain how </w:t>
      </w:r>
      <w:r w:rsidR="00D30690">
        <w:rPr>
          <w:color w:val="000003"/>
        </w:rPr>
        <w:t>The Quinn Centre</w:t>
      </w:r>
      <w:r>
        <w:rPr>
          <w:color w:val="000003"/>
        </w:rPr>
        <w:t xml:space="preserve"> collects, uses and protects any personal information we collect about you.</w:t>
      </w:r>
    </w:p>
    <w:p w14:paraId="4EEFB40C" w14:textId="77777777" w:rsidR="00612C3A" w:rsidRDefault="00612C3A">
      <w:pPr>
        <w:pStyle w:val="BodyText"/>
        <w:spacing w:before="10"/>
      </w:pPr>
    </w:p>
    <w:p w14:paraId="5CDB0600" w14:textId="77777777" w:rsidR="00612C3A" w:rsidRDefault="00EB6D7C">
      <w:pPr>
        <w:pStyle w:val="BodyText"/>
        <w:spacing w:before="1"/>
        <w:ind w:left="100" w:right="194"/>
        <w:jc w:val="both"/>
      </w:pPr>
      <w:r>
        <w:t>We aspire to operate with openness, honesty, integrity and in compliance with the law. Whenever you provide us with personal information we will treat your information in accordance with the law and this privacy policy. In particular, we will:</w:t>
      </w:r>
    </w:p>
    <w:p w14:paraId="59821F71" w14:textId="77777777" w:rsidR="00612C3A" w:rsidRDefault="00612C3A">
      <w:pPr>
        <w:pStyle w:val="BodyText"/>
        <w:spacing w:before="10"/>
      </w:pPr>
    </w:p>
    <w:p w14:paraId="6FFD0C09" w14:textId="77777777" w:rsidR="00612C3A" w:rsidRDefault="00EB6D7C">
      <w:pPr>
        <w:pStyle w:val="ListParagraph"/>
        <w:numPr>
          <w:ilvl w:val="0"/>
          <w:numId w:val="4"/>
        </w:numPr>
        <w:tabs>
          <w:tab w:val="left" w:pos="820"/>
          <w:tab w:val="left" w:pos="821"/>
        </w:tabs>
      </w:pPr>
      <w:r>
        <w:rPr>
          <w:color w:val="272423"/>
        </w:rPr>
        <w:t>Collect information</w:t>
      </w:r>
      <w:r>
        <w:rPr>
          <w:color w:val="272423"/>
          <w:spacing w:val="-2"/>
        </w:rPr>
        <w:t xml:space="preserve"> </w:t>
      </w:r>
      <w:r>
        <w:rPr>
          <w:color w:val="272423"/>
        </w:rPr>
        <w:t>fairly</w:t>
      </w:r>
    </w:p>
    <w:p w14:paraId="59C3BB3D" w14:textId="77777777" w:rsidR="00612C3A" w:rsidRDefault="00EB6D7C">
      <w:pPr>
        <w:pStyle w:val="ListParagraph"/>
        <w:numPr>
          <w:ilvl w:val="0"/>
          <w:numId w:val="4"/>
        </w:numPr>
        <w:tabs>
          <w:tab w:val="left" w:pos="820"/>
          <w:tab w:val="left" w:pos="821"/>
        </w:tabs>
        <w:spacing w:before="1"/>
      </w:pPr>
      <w:r>
        <w:rPr>
          <w:color w:val="272423"/>
        </w:rPr>
        <w:t>Let you know how we will use</w:t>
      </w:r>
      <w:r>
        <w:rPr>
          <w:color w:val="272423"/>
          <w:spacing w:val="-8"/>
        </w:rPr>
        <w:t xml:space="preserve"> </w:t>
      </w:r>
      <w:r>
        <w:rPr>
          <w:color w:val="272423"/>
        </w:rPr>
        <w:t>it</w:t>
      </w:r>
    </w:p>
    <w:p w14:paraId="44F30AAC" w14:textId="77777777" w:rsidR="00612C3A" w:rsidRDefault="00EB6D7C">
      <w:pPr>
        <w:pStyle w:val="ListParagraph"/>
        <w:numPr>
          <w:ilvl w:val="0"/>
          <w:numId w:val="4"/>
        </w:numPr>
        <w:tabs>
          <w:tab w:val="left" w:pos="820"/>
          <w:tab w:val="left" w:pos="821"/>
        </w:tabs>
      </w:pPr>
      <w:r>
        <w:rPr>
          <w:color w:val="272423"/>
        </w:rPr>
        <w:t>Keep information</w:t>
      </w:r>
      <w:r>
        <w:rPr>
          <w:color w:val="272423"/>
          <w:spacing w:val="-2"/>
        </w:rPr>
        <w:t xml:space="preserve"> </w:t>
      </w:r>
      <w:r>
        <w:rPr>
          <w:color w:val="272423"/>
        </w:rPr>
        <w:t>secure</w:t>
      </w:r>
    </w:p>
    <w:p w14:paraId="3AED3776" w14:textId="77777777" w:rsidR="00612C3A" w:rsidRDefault="00612C3A">
      <w:pPr>
        <w:pStyle w:val="BodyText"/>
        <w:rPr>
          <w:sz w:val="23"/>
        </w:rPr>
      </w:pPr>
    </w:p>
    <w:p w14:paraId="39756E94" w14:textId="77777777" w:rsidR="00612C3A" w:rsidRDefault="00EB6D7C">
      <w:pPr>
        <w:pStyle w:val="BodyText"/>
        <w:spacing w:before="1"/>
        <w:ind w:left="100" w:right="303"/>
      </w:pPr>
      <w:r>
        <w:rPr>
          <w:color w:val="000003"/>
        </w:rPr>
        <w:t>We use your information strictly in accordance with all applicable data protection laws and you can be assured that any information provided will only be used in accordance with this privacy policy.</w:t>
      </w:r>
    </w:p>
    <w:p w14:paraId="691FECE5" w14:textId="77777777" w:rsidR="00612C3A" w:rsidRDefault="00612C3A">
      <w:pPr>
        <w:pStyle w:val="BodyText"/>
        <w:spacing w:before="10"/>
      </w:pPr>
    </w:p>
    <w:p w14:paraId="08CFF1D3" w14:textId="77777777" w:rsidR="00612C3A" w:rsidRDefault="00EB6D7C">
      <w:pPr>
        <w:pStyle w:val="BodyText"/>
        <w:ind w:left="100" w:right="449"/>
      </w:pPr>
      <w:r>
        <w:rPr>
          <w:color w:val="272423"/>
        </w:rPr>
        <w:t>Any changes we make to this privacy policy will be posted on our website, so please check back from time to time.</w:t>
      </w:r>
    </w:p>
    <w:p w14:paraId="2C7CDCF5" w14:textId="77777777" w:rsidR="00612C3A" w:rsidRDefault="00612C3A">
      <w:pPr>
        <w:pStyle w:val="BodyText"/>
        <w:spacing w:before="11"/>
        <w:rPr>
          <w:sz w:val="30"/>
        </w:rPr>
      </w:pPr>
    </w:p>
    <w:p w14:paraId="4D356A69" w14:textId="77777777" w:rsidR="00612C3A" w:rsidRDefault="00EB6D7C">
      <w:pPr>
        <w:pStyle w:val="Heading1"/>
        <w:numPr>
          <w:ilvl w:val="0"/>
          <w:numId w:val="3"/>
        </w:numPr>
        <w:tabs>
          <w:tab w:val="left" w:pos="321"/>
        </w:tabs>
        <w:ind w:hanging="220"/>
      </w:pPr>
      <w:r>
        <w:t>Your data</w:t>
      </w:r>
    </w:p>
    <w:p w14:paraId="15401BF5" w14:textId="77777777" w:rsidR="00612C3A" w:rsidRDefault="00612C3A">
      <w:pPr>
        <w:pStyle w:val="BodyText"/>
        <w:spacing w:before="4"/>
        <w:rPr>
          <w:b/>
          <w:sz w:val="18"/>
        </w:rPr>
      </w:pPr>
    </w:p>
    <w:p w14:paraId="577D495D" w14:textId="77777777" w:rsidR="00612C3A" w:rsidRDefault="00EB6D7C">
      <w:pPr>
        <w:pStyle w:val="BodyText"/>
        <w:ind w:left="100" w:right="249"/>
      </w:pPr>
      <w:r>
        <w:rPr>
          <w:color w:val="272423"/>
        </w:rPr>
        <w:t>“Your data” means any data about you from which you can be identified such as your name, address, telephone number, email address, medical conditions, or other data which you may disclose to us such as the school you attend or whether your family is in receipt of benefits.</w:t>
      </w:r>
    </w:p>
    <w:p w14:paraId="7C7459EF" w14:textId="77777777" w:rsidR="00612C3A" w:rsidRDefault="00612C3A">
      <w:pPr>
        <w:pStyle w:val="BodyText"/>
        <w:spacing w:before="11"/>
      </w:pPr>
    </w:p>
    <w:p w14:paraId="16AB2E46" w14:textId="77777777" w:rsidR="00612C3A" w:rsidRDefault="00D30690" w:rsidP="00D30690">
      <w:pPr>
        <w:pStyle w:val="BodyText"/>
        <w:ind w:left="100"/>
      </w:pPr>
      <w:r>
        <w:rPr>
          <w:color w:val="272423"/>
        </w:rPr>
        <w:t>W</w:t>
      </w:r>
      <w:r w:rsidR="00EB6D7C">
        <w:rPr>
          <w:color w:val="272423"/>
        </w:rPr>
        <w:t>e also collect information which may help to inform the support we can provide e.g. family set up, bereavements or losses, personal and emotional challenges etc. Clinical notes are also collected throughout treatment to aid and enhance the work.</w:t>
      </w:r>
    </w:p>
    <w:p w14:paraId="401ADE10" w14:textId="77777777" w:rsidR="00612C3A" w:rsidRDefault="00612C3A">
      <w:pPr>
        <w:pStyle w:val="BodyText"/>
        <w:spacing w:before="1"/>
        <w:rPr>
          <w:sz w:val="23"/>
        </w:rPr>
      </w:pPr>
    </w:p>
    <w:p w14:paraId="61C5F336" w14:textId="77777777" w:rsidR="00612C3A" w:rsidRDefault="00EB6D7C">
      <w:pPr>
        <w:pStyle w:val="BodyText"/>
        <w:ind w:left="100"/>
      </w:pPr>
      <w:r>
        <w:t>Data may include;</w:t>
      </w:r>
    </w:p>
    <w:p w14:paraId="021051F0" w14:textId="77777777" w:rsidR="00612C3A" w:rsidRDefault="00612C3A">
      <w:pPr>
        <w:pStyle w:val="BodyText"/>
        <w:spacing w:before="1"/>
        <w:rPr>
          <w:sz w:val="23"/>
        </w:rPr>
      </w:pPr>
    </w:p>
    <w:p w14:paraId="47240634" w14:textId="77777777" w:rsidR="00612C3A" w:rsidRDefault="00EB6D7C">
      <w:pPr>
        <w:pStyle w:val="ListParagraph"/>
        <w:numPr>
          <w:ilvl w:val="1"/>
          <w:numId w:val="3"/>
        </w:numPr>
        <w:tabs>
          <w:tab w:val="left" w:pos="820"/>
          <w:tab w:val="left" w:pos="821"/>
        </w:tabs>
        <w:spacing w:line="267" w:lineRule="exact"/>
        <w:rPr>
          <w:rFonts w:ascii="Symbol" w:hAnsi="Symbol"/>
          <w:sz w:val="20"/>
        </w:rPr>
      </w:pPr>
      <w:r>
        <w:t>personal details</w:t>
      </w:r>
    </w:p>
    <w:p w14:paraId="4C0EE491" w14:textId="77777777" w:rsidR="00612C3A" w:rsidRDefault="00EB6D7C">
      <w:pPr>
        <w:pStyle w:val="ListParagraph"/>
        <w:numPr>
          <w:ilvl w:val="1"/>
          <w:numId w:val="3"/>
        </w:numPr>
        <w:tabs>
          <w:tab w:val="left" w:pos="820"/>
          <w:tab w:val="left" w:pos="821"/>
        </w:tabs>
        <w:spacing w:line="267" w:lineRule="exact"/>
        <w:rPr>
          <w:rFonts w:ascii="Symbol" w:hAnsi="Symbol"/>
          <w:sz w:val="20"/>
        </w:rPr>
      </w:pPr>
      <w:r>
        <w:t>family</w:t>
      </w:r>
      <w:r>
        <w:rPr>
          <w:spacing w:val="-3"/>
        </w:rPr>
        <w:t xml:space="preserve"> </w:t>
      </w:r>
      <w:r>
        <w:t>detail</w:t>
      </w:r>
    </w:p>
    <w:p w14:paraId="726359D3" w14:textId="77777777" w:rsidR="00612C3A" w:rsidRDefault="00EB6D7C">
      <w:pPr>
        <w:pStyle w:val="ListParagraph"/>
        <w:numPr>
          <w:ilvl w:val="1"/>
          <w:numId w:val="3"/>
        </w:numPr>
        <w:tabs>
          <w:tab w:val="left" w:pos="820"/>
          <w:tab w:val="left" w:pos="821"/>
        </w:tabs>
        <w:rPr>
          <w:rFonts w:ascii="Symbol" w:hAnsi="Symbol"/>
          <w:sz w:val="20"/>
        </w:rPr>
      </w:pPr>
      <w:r>
        <w:t>lifestyle and social</w:t>
      </w:r>
      <w:r>
        <w:rPr>
          <w:spacing w:val="-2"/>
        </w:rPr>
        <w:t xml:space="preserve"> </w:t>
      </w:r>
      <w:r>
        <w:t>circumstances</w:t>
      </w:r>
    </w:p>
    <w:p w14:paraId="6879FAF9" w14:textId="77777777" w:rsidR="00612C3A" w:rsidRDefault="00EB6D7C">
      <w:pPr>
        <w:pStyle w:val="ListParagraph"/>
        <w:numPr>
          <w:ilvl w:val="1"/>
          <w:numId w:val="3"/>
        </w:numPr>
        <w:tabs>
          <w:tab w:val="left" w:pos="820"/>
          <w:tab w:val="left" w:pos="821"/>
        </w:tabs>
        <w:spacing w:before="1"/>
        <w:rPr>
          <w:rFonts w:ascii="Symbol" w:hAnsi="Symbol"/>
          <w:sz w:val="20"/>
        </w:rPr>
      </w:pPr>
      <w:r>
        <w:t>membership</w:t>
      </w:r>
      <w:r>
        <w:rPr>
          <w:spacing w:val="-2"/>
        </w:rPr>
        <w:t xml:space="preserve"> </w:t>
      </w:r>
      <w:r>
        <w:t>details</w:t>
      </w:r>
    </w:p>
    <w:p w14:paraId="2A9DFE19" w14:textId="77777777" w:rsidR="00612C3A" w:rsidRDefault="00EB6D7C">
      <w:pPr>
        <w:pStyle w:val="ListParagraph"/>
        <w:numPr>
          <w:ilvl w:val="1"/>
          <w:numId w:val="3"/>
        </w:numPr>
        <w:tabs>
          <w:tab w:val="left" w:pos="820"/>
          <w:tab w:val="left" w:pos="821"/>
        </w:tabs>
        <w:rPr>
          <w:rFonts w:ascii="Symbol" w:hAnsi="Symbol"/>
          <w:sz w:val="20"/>
        </w:rPr>
      </w:pPr>
      <w:r>
        <w:t>goods and</w:t>
      </w:r>
      <w:r>
        <w:rPr>
          <w:spacing w:val="-3"/>
        </w:rPr>
        <w:t xml:space="preserve"> </w:t>
      </w:r>
      <w:r>
        <w:t>services</w:t>
      </w:r>
    </w:p>
    <w:p w14:paraId="0A29BE2E" w14:textId="77777777" w:rsidR="00612C3A" w:rsidRDefault="00EB6D7C">
      <w:pPr>
        <w:pStyle w:val="ListParagraph"/>
        <w:numPr>
          <w:ilvl w:val="1"/>
          <w:numId w:val="3"/>
        </w:numPr>
        <w:tabs>
          <w:tab w:val="left" w:pos="820"/>
          <w:tab w:val="left" w:pos="821"/>
        </w:tabs>
        <w:rPr>
          <w:rFonts w:ascii="Symbol" w:hAnsi="Symbol"/>
          <w:sz w:val="20"/>
        </w:rPr>
      </w:pPr>
      <w:r>
        <w:t>financial</w:t>
      </w:r>
      <w:r>
        <w:rPr>
          <w:spacing w:val="-2"/>
        </w:rPr>
        <w:t xml:space="preserve"> </w:t>
      </w:r>
      <w:r>
        <w:t>details</w:t>
      </w:r>
    </w:p>
    <w:p w14:paraId="7E71ADEB" w14:textId="77777777" w:rsidR="00612C3A" w:rsidRDefault="00EB6D7C">
      <w:pPr>
        <w:pStyle w:val="ListParagraph"/>
        <w:numPr>
          <w:ilvl w:val="1"/>
          <w:numId w:val="3"/>
        </w:numPr>
        <w:tabs>
          <w:tab w:val="left" w:pos="820"/>
          <w:tab w:val="left" w:pos="821"/>
        </w:tabs>
        <w:rPr>
          <w:rFonts w:ascii="Symbol" w:hAnsi="Symbol"/>
          <w:sz w:val="20"/>
        </w:rPr>
      </w:pPr>
      <w:r>
        <w:t>education and employment</w:t>
      </w:r>
      <w:r>
        <w:rPr>
          <w:spacing w:val="-5"/>
        </w:rPr>
        <w:t xml:space="preserve"> </w:t>
      </w:r>
      <w:r>
        <w:t>details</w:t>
      </w:r>
    </w:p>
    <w:p w14:paraId="6A2A0DF3" w14:textId="77777777" w:rsidR="00612C3A" w:rsidRDefault="00612C3A">
      <w:pPr>
        <w:rPr>
          <w:rFonts w:ascii="Symbol" w:hAnsi="Symbol"/>
          <w:sz w:val="20"/>
        </w:rPr>
        <w:sectPr w:rsidR="00612C3A">
          <w:footerReference w:type="default" r:id="rId8"/>
          <w:type w:val="continuous"/>
          <w:pgSz w:w="12240" w:h="15840"/>
          <w:pgMar w:top="760" w:right="1340" w:bottom="1200" w:left="1340" w:header="720" w:footer="1014" w:gutter="0"/>
          <w:pgNumType w:start="1"/>
          <w:cols w:space="720"/>
        </w:sectPr>
      </w:pPr>
    </w:p>
    <w:p w14:paraId="6A660D99" w14:textId="77777777" w:rsidR="00612C3A" w:rsidRDefault="00EB6D7C">
      <w:pPr>
        <w:pStyle w:val="BodyText"/>
        <w:spacing w:before="35"/>
        <w:ind w:left="100"/>
      </w:pPr>
      <w:r>
        <w:lastRenderedPageBreak/>
        <w:t>We also manage sensitive classes of information that may include:</w:t>
      </w:r>
    </w:p>
    <w:p w14:paraId="68249D1E" w14:textId="77777777" w:rsidR="00612C3A" w:rsidRDefault="00612C3A">
      <w:pPr>
        <w:pStyle w:val="BodyText"/>
        <w:spacing w:before="10"/>
      </w:pPr>
    </w:p>
    <w:p w14:paraId="5FAC6F5F" w14:textId="77777777" w:rsidR="00612C3A" w:rsidRDefault="00EB6D7C">
      <w:pPr>
        <w:pStyle w:val="ListParagraph"/>
        <w:numPr>
          <w:ilvl w:val="1"/>
          <w:numId w:val="3"/>
        </w:numPr>
        <w:tabs>
          <w:tab w:val="left" w:pos="820"/>
          <w:tab w:val="left" w:pos="821"/>
        </w:tabs>
        <w:spacing w:before="1"/>
        <w:rPr>
          <w:rFonts w:ascii="Symbol" w:hAnsi="Symbol"/>
          <w:sz w:val="20"/>
        </w:rPr>
      </w:pPr>
      <w:r>
        <w:t>physical or mental health</w:t>
      </w:r>
      <w:r>
        <w:rPr>
          <w:spacing w:val="-4"/>
        </w:rPr>
        <w:t xml:space="preserve"> </w:t>
      </w:r>
      <w:r>
        <w:t>details</w:t>
      </w:r>
    </w:p>
    <w:p w14:paraId="753989CB" w14:textId="77777777" w:rsidR="00612C3A" w:rsidRDefault="00EB6D7C">
      <w:pPr>
        <w:pStyle w:val="ListParagraph"/>
        <w:numPr>
          <w:ilvl w:val="1"/>
          <w:numId w:val="3"/>
        </w:numPr>
        <w:tabs>
          <w:tab w:val="left" w:pos="820"/>
          <w:tab w:val="left" w:pos="821"/>
        </w:tabs>
        <w:rPr>
          <w:rFonts w:ascii="Symbol" w:hAnsi="Symbol"/>
          <w:sz w:val="20"/>
        </w:rPr>
      </w:pPr>
      <w:r>
        <w:t>racial or ethnic</w:t>
      </w:r>
      <w:r>
        <w:rPr>
          <w:spacing w:val="-5"/>
        </w:rPr>
        <w:t xml:space="preserve"> </w:t>
      </w:r>
      <w:r>
        <w:t>origin</w:t>
      </w:r>
    </w:p>
    <w:p w14:paraId="3B681B5F" w14:textId="77777777" w:rsidR="00612C3A" w:rsidRDefault="00EB6D7C">
      <w:pPr>
        <w:pStyle w:val="ListParagraph"/>
        <w:numPr>
          <w:ilvl w:val="1"/>
          <w:numId w:val="3"/>
        </w:numPr>
        <w:tabs>
          <w:tab w:val="left" w:pos="820"/>
          <w:tab w:val="left" w:pos="821"/>
        </w:tabs>
        <w:rPr>
          <w:rFonts w:ascii="Symbol" w:hAnsi="Symbol"/>
          <w:sz w:val="20"/>
        </w:rPr>
      </w:pPr>
      <w:r>
        <w:t>religious or other beliefs of a similar</w:t>
      </w:r>
      <w:r>
        <w:rPr>
          <w:spacing w:val="-14"/>
        </w:rPr>
        <w:t xml:space="preserve"> </w:t>
      </w:r>
      <w:r>
        <w:t>nature</w:t>
      </w:r>
    </w:p>
    <w:p w14:paraId="23EED146" w14:textId="77777777" w:rsidR="00612C3A" w:rsidRDefault="00612C3A">
      <w:pPr>
        <w:pStyle w:val="BodyText"/>
        <w:spacing w:before="11"/>
        <w:rPr>
          <w:sz w:val="30"/>
        </w:rPr>
      </w:pPr>
    </w:p>
    <w:p w14:paraId="1BDF2207" w14:textId="77777777" w:rsidR="00612C3A" w:rsidRDefault="00EB6D7C">
      <w:pPr>
        <w:pStyle w:val="Heading1"/>
        <w:numPr>
          <w:ilvl w:val="0"/>
          <w:numId w:val="3"/>
        </w:numPr>
        <w:tabs>
          <w:tab w:val="left" w:pos="324"/>
        </w:tabs>
        <w:ind w:left="323" w:hanging="223"/>
      </w:pPr>
      <w:r>
        <w:t>Who is this data</w:t>
      </w:r>
      <w:r>
        <w:rPr>
          <w:spacing w:val="-5"/>
        </w:rPr>
        <w:t xml:space="preserve"> </w:t>
      </w:r>
      <w:r>
        <w:t>about?</w:t>
      </w:r>
    </w:p>
    <w:p w14:paraId="5A2937D7" w14:textId="77777777" w:rsidR="00612C3A" w:rsidRDefault="00612C3A">
      <w:pPr>
        <w:pStyle w:val="BodyText"/>
        <w:spacing w:before="10"/>
        <w:rPr>
          <w:b/>
        </w:rPr>
      </w:pPr>
    </w:p>
    <w:p w14:paraId="7A501003" w14:textId="77777777" w:rsidR="00612C3A" w:rsidRDefault="00EB6D7C">
      <w:pPr>
        <w:pStyle w:val="BodyText"/>
        <w:ind w:left="100"/>
      </w:pPr>
      <w:r>
        <w:t>We manage personal information about;</w:t>
      </w:r>
    </w:p>
    <w:p w14:paraId="6C834C48" w14:textId="77777777" w:rsidR="00612C3A" w:rsidRDefault="00612C3A">
      <w:pPr>
        <w:pStyle w:val="BodyText"/>
        <w:spacing w:before="10"/>
      </w:pPr>
    </w:p>
    <w:p w14:paraId="0412567A" w14:textId="77777777" w:rsidR="00612C3A" w:rsidRDefault="00EB6D7C">
      <w:pPr>
        <w:pStyle w:val="ListParagraph"/>
        <w:numPr>
          <w:ilvl w:val="1"/>
          <w:numId w:val="3"/>
        </w:numPr>
        <w:tabs>
          <w:tab w:val="left" w:pos="813"/>
          <w:tab w:val="left" w:pos="814"/>
        </w:tabs>
        <w:ind w:left="813" w:hanging="355"/>
        <w:rPr>
          <w:rFonts w:ascii="Symbol" w:hAnsi="Symbol"/>
        </w:rPr>
      </w:pPr>
      <w:r>
        <w:t>members</w:t>
      </w:r>
    </w:p>
    <w:p w14:paraId="4E8C4496" w14:textId="77777777" w:rsidR="00612C3A" w:rsidRDefault="00EB6D7C">
      <w:pPr>
        <w:pStyle w:val="ListParagraph"/>
        <w:numPr>
          <w:ilvl w:val="1"/>
          <w:numId w:val="3"/>
        </w:numPr>
        <w:tabs>
          <w:tab w:val="left" w:pos="820"/>
          <w:tab w:val="left" w:pos="821"/>
        </w:tabs>
        <w:spacing w:before="1"/>
        <w:rPr>
          <w:rFonts w:ascii="Symbol" w:hAnsi="Symbol"/>
        </w:rPr>
      </w:pPr>
      <w:r>
        <w:t>Staff,</w:t>
      </w:r>
      <w:r>
        <w:rPr>
          <w:spacing w:val="-2"/>
        </w:rPr>
        <w:t xml:space="preserve"> </w:t>
      </w:r>
      <w:r>
        <w:t>volunteers</w:t>
      </w:r>
    </w:p>
    <w:p w14:paraId="76300628" w14:textId="77777777" w:rsidR="00612C3A" w:rsidRDefault="00EB6D7C">
      <w:pPr>
        <w:pStyle w:val="ListParagraph"/>
        <w:numPr>
          <w:ilvl w:val="1"/>
          <w:numId w:val="3"/>
        </w:numPr>
        <w:tabs>
          <w:tab w:val="left" w:pos="820"/>
          <w:tab w:val="left" w:pos="821"/>
        </w:tabs>
        <w:rPr>
          <w:rFonts w:ascii="Symbol" w:hAnsi="Symbol"/>
        </w:rPr>
      </w:pPr>
      <w:r>
        <w:t>Trustees</w:t>
      </w:r>
    </w:p>
    <w:p w14:paraId="2B691A4E" w14:textId="77777777" w:rsidR="00612C3A" w:rsidRDefault="00EB6D7C">
      <w:pPr>
        <w:pStyle w:val="ListParagraph"/>
        <w:numPr>
          <w:ilvl w:val="1"/>
          <w:numId w:val="3"/>
        </w:numPr>
        <w:tabs>
          <w:tab w:val="left" w:pos="820"/>
          <w:tab w:val="left" w:pos="821"/>
        </w:tabs>
        <w:spacing w:before="2"/>
        <w:rPr>
          <w:rFonts w:ascii="Symbol" w:hAnsi="Symbol"/>
        </w:rPr>
      </w:pPr>
      <w:r>
        <w:t>Enquirers</w:t>
      </w:r>
    </w:p>
    <w:p w14:paraId="7A22D9DB" w14:textId="77777777" w:rsidR="00612C3A" w:rsidRDefault="00EB6D7C">
      <w:pPr>
        <w:pStyle w:val="ListParagraph"/>
        <w:numPr>
          <w:ilvl w:val="1"/>
          <w:numId w:val="3"/>
        </w:numPr>
        <w:tabs>
          <w:tab w:val="left" w:pos="820"/>
          <w:tab w:val="left" w:pos="821"/>
        </w:tabs>
        <w:spacing w:line="279" w:lineRule="exact"/>
        <w:rPr>
          <w:rFonts w:ascii="Symbol" w:hAnsi="Symbol"/>
        </w:rPr>
      </w:pPr>
      <w:r>
        <w:t>Partner</w:t>
      </w:r>
      <w:r>
        <w:rPr>
          <w:spacing w:val="-2"/>
        </w:rPr>
        <w:t xml:space="preserve"> </w:t>
      </w:r>
      <w:r>
        <w:t>organisations</w:t>
      </w:r>
    </w:p>
    <w:p w14:paraId="260C9741" w14:textId="77777777" w:rsidR="00612C3A" w:rsidRDefault="00EB6D7C">
      <w:pPr>
        <w:pStyle w:val="ListParagraph"/>
        <w:numPr>
          <w:ilvl w:val="1"/>
          <w:numId w:val="3"/>
        </w:numPr>
        <w:tabs>
          <w:tab w:val="left" w:pos="820"/>
          <w:tab w:val="left" w:pos="821"/>
        </w:tabs>
        <w:spacing w:line="279" w:lineRule="exact"/>
        <w:rPr>
          <w:rFonts w:ascii="Symbol" w:hAnsi="Symbol"/>
        </w:rPr>
      </w:pPr>
      <w:r>
        <w:t>Complainants</w:t>
      </w:r>
    </w:p>
    <w:p w14:paraId="4C135348" w14:textId="77777777" w:rsidR="00612C3A" w:rsidRDefault="00612C3A">
      <w:pPr>
        <w:pStyle w:val="BodyText"/>
        <w:spacing w:before="11"/>
        <w:rPr>
          <w:sz w:val="30"/>
        </w:rPr>
      </w:pPr>
    </w:p>
    <w:p w14:paraId="1C6ED39D" w14:textId="77777777" w:rsidR="00612C3A" w:rsidRDefault="00EB6D7C">
      <w:pPr>
        <w:pStyle w:val="Heading1"/>
        <w:numPr>
          <w:ilvl w:val="0"/>
          <w:numId w:val="3"/>
        </w:numPr>
        <w:tabs>
          <w:tab w:val="left" w:pos="324"/>
        </w:tabs>
        <w:ind w:left="323" w:hanging="223"/>
      </w:pPr>
      <w:r>
        <w:t>Why do we collect this</w:t>
      </w:r>
      <w:r>
        <w:rPr>
          <w:spacing w:val="-7"/>
        </w:rPr>
        <w:t xml:space="preserve"> </w:t>
      </w:r>
      <w:r>
        <w:t>data?</w:t>
      </w:r>
    </w:p>
    <w:p w14:paraId="62B8FB6F" w14:textId="77777777" w:rsidR="00612C3A" w:rsidRDefault="00612C3A">
      <w:pPr>
        <w:pStyle w:val="BodyText"/>
        <w:spacing w:before="8"/>
        <w:rPr>
          <w:b/>
          <w:sz w:val="30"/>
        </w:rPr>
      </w:pPr>
    </w:p>
    <w:p w14:paraId="6D92C383" w14:textId="77777777" w:rsidR="00612C3A" w:rsidRDefault="00EB6D7C">
      <w:pPr>
        <w:pStyle w:val="BodyText"/>
        <w:ind w:left="100"/>
      </w:pPr>
      <w:r>
        <w:t>This information is collected for the following purposes;</w:t>
      </w:r>
    </w:p>
    <w:p w14:paraId="326371E6" w14:textId="77777777" w:rsidR="00612C3A" w:rsidRDefault="00612C3A">
      <w:pPr>
        <w:pStyle w:val="BodyText"/>
        <w:spacing w:before="10"/>
      </w:pPr>
    </w:p>
    <w:p w14:paraId="2C156164" w14:textId="77777777" w:rsidR="00612C3A" w:rsidRDefault="00EB6D7C">
      <w:pPr>
        <w:pStyle w:val="ListParagraph"/>
        <w:numPr>
          <w:ilvl w:val="0"/>
          <w:numId w:val="2"/>
        </w:numPr>
        <w:tabs>
          <w:tab w:val="left" w:pos="820"/>
          <w:tab w:val="left" w:pos="821"/>
        </w:tabs>
      </w:pPr>
      <w:r>
        <w:rPr>
          <w:u w:val="single"/>
        </w:rPr>
        <w:t>Registers</w:t>
      </w:r>
      <w:r>
        <w:t xml:space="preserve"> e.g. name, emergency contact</w:t>
      </w:r>
      <w:r>
        <w:rPr>
          <w:spacing w:val="-5"/>
        </w:rPr>
        <w:t xml:space="preserve"> </w:t>
      </w:r>
      <w:r>
        <w:t>details.</w:t>
      </w:r>
    </w:p>
    <w:p w14:paraId="4B461531" w14:textId="77777777" w:rsidR="00612C3A" w:rsidRDefault="00EB6D7C">
      <w:pPr>
        <w:pStyle w:val="ListParagraph"/>
        <w:numPr>
          <w:ilvl w:val="0"/>
          <w:numId w:val="2"/>
        </w:numPr>
        <w:tabs>
          <w:tab w:val="left" w:pos="820"/>
          <w:tab w:val="left" w:pos="821"/>
        </w:tabs>
        <w:spacing w:before="1"/>
        <w:ind w:right="185"/>
      </w:pPr>
      <w:r>
        <w:rPr>
          <w:u w:val="single"/>
        </w:rPr>
        <w:t>Monitoring</w:t>
      </w:r>
      <w:r>
        <w:t xml:space="preserve">; as a </w:t>
      </w:r>
      <w:r w:rsidR="00D30690">
        <w:t>community interest company</w:t>
      </w:r>
      <w:r>
        <w:t xml:space="preserve"> we rely on funding from Trusts and Foundations and in some instances local and central government who usually want to have a statistical breakdown of our participants e.g. by gender, age group, ethnicity. This information also helps our own internal monitoring to let us know if we’re reaching participants who would benefit from our work the most </w:t>
      </w:r>
    </w:p>
    <w:p w14:paraId="5AA7C6CD" w14:textId="77777777" w:rsidR="00612C3A" w:rsidRDefault="00EB6D7C">
      <w:pPr>
        <w:pStyle w:val="ListParagraph"/>
        <w:numPr>
          <w:ilvl w:val="0"/>
          <w:numId w:val="2"/>
        </w:numPr>
        <w:tabs>
          <w:tab w:val="left" w:pos="821"/>
        </w:tabs>
        <w:ind w:right="104"/>
        <w:jc w:val="both"/>
      </w:pPr>
      <w:r>
        <w:rPr>
          <w:u w:val="single"/>
        </w:rPr>
        <w:t>To target our opportunities for those who would benefit</w:t>
      </w:r>
      <w:r>
        <w:t>; if we have a project taking place in say dance, we would send this information to participants who have expressed an interest in ‘dance’ on their membership</w:t>
      </w:r>
      <w:r>
        <w:rPr>
          <w:spacing w:val="-5"/>
        </w:rPr>
        <w:t xml:space="preserve"> </w:t>
      </w:r>
      <w:r>
        <w:t>form.</w:t>
      </w:r>
    </w:p>
    <w:p w14:paraId="718283AE" w14:textId="77777777" w:rsidR="00612C3A" w:rsidRDefault="00EB6D7C">
      <w:pPr>
        <w:pStyle w:val="ListParagraph"/>
        <w:numPr>
          <w:ilvl w:val="0"/>
          <w:numId w:val="2"/>
        </w:numPr>
        <w:tabs>
          <w:tab w:val="left" w:pos="820"/>
          <w:tab w:val="left" w:pos="821"/>
        </w:tabs>
        <w:ind w:right="501"/>
      </w:pPr>
      <w:r>
        <w:rPr>
          <w:u w:val="single"/>
        </w:rPr>
        <w:t>To enhance the support we give</w:t>
      </w:r>
      <w:r>
        <w:t>; collecting sensitive information such as special educational needs details can aid and enhance the support our team is able to</w:t>
      </w:r>
      <w:r>
        <w:rPr>
          <w:spacing w:val="-8"/>
        </w:rPr>
        <w:t xml:space="preserve"> </w:t>
      </w:r>
      <w:r>
        <w:t>give.</w:t>
      </w:r>
    </w:p>
    <w:p w14:paraId="3702A8EA" w14:textId="77777777" w:rsidR="00612C3A" w:rsidRDefault="00EB6D7C">
      <w:pPr>
        <w:pStyle w:val="ListParagraph"/>
        <w:numPr>
          <w:ilvl w:val="0"/>
          <w:numId w:val="2"/>
        </w:numPr>
        <w:tabs>
          <w:tab w:val="left" w:pos="820"/>
          <w:tab w:val="left" w:pos="821"/>
        </w:tabs>
        <w:spacing w:before="1"/>
        <w:ind w:right="290"/>
      </w:pPr>
      <w:r>
        <w:rPr>
          <w:u w:val="single"/>
        </w:rPr>
        <w:t>To enable us to deliver our charitable objects</w:t>
      </w:r>
      <w:r>
        <w:t>; including collecting information on partners and members of our</w:t>
      </w:r>
      <w:r>
        <w:rPr>
          <w:spacing w:val="-7"/>
        </w:rPr>
        <w:t xml:space="preserve"> </w:t>
      </w:r>
      <w:r>
        <w:t>team.</w:t>
      </w:r>
    </w:p>
    <w:p w14:paraId="7C16F8D6" w14:textId="77777777" w:rsidR="00612C3A" w:rsidRDefault="00612C3A">
      <w:pPr>
        <w:pStyle w:val="BodyText"/>
        <w:spacing w:before="8"/>
        <w:rPr>
          <w:sz w:val="30"/>
        </w:rPr>
      </w:pPr>
    </w:p>
    <w:p w14:paraId="18553629" w14:textId="77777777" w:rsidR="00612C3A" w:rsidRDefault="00EB6D7C">
      <w:pPr>
        <w:pStyle w:val="Heading1"/>
        <w:numPr>
          <w:ilvl w:val="0"/>
          <w:numId w:val="3"/>
        </w:numPr>
        <w:tabs>
          <w:tab w:val="left" w:pos="324"/>
        </w:tabs>
        <w:ind w:left="323" w:hanging="223"/>
      </w:pPr>
      <w:r>
        <w:t>When do we collect your</w:t>
      </w:r>
      <w:r>
        <w:rPr>
          <w:spacing w:val="-8"/>
        </w:rPr>
        <w:t xml:space="preserve"> </w:t>
      </w:r>
      <w:r>
        <w:t>data?</w:t>
      </w:r>
    </w:p>
    <w:p w14:paraId="180B85A9" w14:textId="77777777" w:rsidR="00612C3A" w:rsidRDefault="00612C3A">
      <w:pPr>
        <w:pStyle w:val="BodyText"/>
        <w:spacing w:before="4"/>
        <w:rPr>
          <w:b/>
          <w:sz w:val="18"/>
        </w:rPr>
      </w:pPr>
    </w:p>
    <w:p w14:paraId="0D1351CE" w14:textId="77777777" w:rsidR="00612C3A" w:rsidRDefault="00EB6D7C">
      <w:pPr>
        <w:pStyle w:val="BodyText"/>
        <w:spacing w:before="1"/>
        <w:ind w:left="150"/>
      </w:pPr>
      <w:r>
        <w:rPr>
          <w:color w:val="272423"/>
        </w:rPr>
        <w:t>We collect your information in a number of ways, which include:</w:t>
      </w:r>
    </w:p>
    <w:p w14:paraId="39360229" w14:textId="77777777" w:rsidR="00612C3A" w:rsidRDefault="00612C3A">
      <w:pPr>
        <w:pStyle w:val="BodyText"/>
        <w:rPr>
          <w:sz w:val="23"/>
        </w:rPr>
      </w:pPr>
    </w:p>
    <w:p w14:paraId="67FDACD1" w14:textId="77777777" w:rsidR="00612C3A" w:rsidRDefault="00EB6D7C">
      <w:pPr>
        <w:pStyle w:val="ListParagraph"/>
        <w:numPr>
          <w:ilvl w:val="1"/>
          <w:numId w:val="3"/>
        </w:numPr>
        <w:tabs>
          <w:tab w:val="left" w:pos="820"/>
          <w:tab w:val="left" w:pos="821"/>
        </w:tabs>
        <w:rPr>
          <w:rFonts w:ascii="Symbol" w:hAnsi="Symbol"/>
          <w:sz w:val="20"/>
        </w:rPr>
      </w:pPr>
      <w:r>
        <w:rPr>
          <w:color w:val="272423"/>
        </w:rPr>
        <w:t xml:space="preserve">When you sign up to </w:t>
      </w:r>
      <w:r w:rsidR="00D30690">
        <w:rPr>
          <w:color w:val="272423"/>
        </w:rPr>
        <w:t>The Quinn Centre</w:t>
      </w:r>
      <w:r>
        <w:rPr>
          <w:color w:val="272423"/>
        </w:rPr>
        <w:t xml:space="preserve"> via membership form </w:t>
      </w:r>
      <w:r>
        <w:t>and/or referral</w:t>
      </w:r>
      <w:r>
        <w:rPr>
          <w:spacing w:val="-14"/>
        </w:rPr>
        <w:t xml:space="preserve"> </w:t>
      </w:r>
      <w:r>
        <w:t>forms</w:t>
      </w:r>
    </w:p>
    <w:p w14:paraId="09DBCA89" w14:textId="77777777" w:rsidR="00612C3A" w:rsidRDefault="00EB6D7C">
      <w:pPr>
        <w:pStyle w:val="ListParagraph"/>
        <w:numPr>
          <w:ilvl w:val="1"/>
          <w:numId w:val="3"/>
        </w:numPr>
        <w:tabs>
          <w:tab w:val="left" w:pos="820"/>
          <w:tab w:val="left" w:pos="821"/>
        </w:tabs>
        <w:ind w:right="386"/>
        <w:rPr>
          <w:rFonts w:ascii="Symbol" w:hAnsi="Symbol"/>
          <w:sz w:val="20"/>
        </w:rPr>
      </w:pPr>
      <w:r>
        <w:t>When we evaluate our projects via end of project reports, outcomes stars, project blogs, case studies</w:t>
      </w:r>
    </w:p>
    <w:p w14:paraId="4FF59FDE" w14:textId="77777777" w:rsidR="00612C3A" w:rsidRDefault="00EB6D7C">
      <w:pPr>
        <w:pStyle w:val="ListParagraph"/>
        <w:numPr>
          <w:ilvl w:val="1"/>
          <w:numId w:val="3"/>
        </w:numPr>
        <w:tabs>
          <w:tab w:val="left" w:pos="820"/>
          <w:tab w:val="left" w:pos="821"/>
        </w:tabs>
        <w:spacing w:before="1"/>
        <w:ind w:right="334"/>
        <w:rPr>
          <w:rFonts w:ascii="Symbol" w:hAnsi="Symbol"/>
          <w:sz w:val="20"/>
        </w:rPr>
      </w:pPr>
      <w:r>
        <w:t>When we take photos, audio/video recordings of sessions which serve as evidence of our members and staff participation and growth and provide support in obtaining further funding to maintain our</w:t>
      </w:r>
      <w:r>
        <w:rPr>
          <w:spacing w:val="-5"/>
        </w:rPr>
        <w:t xml:space="preserve"> </w:t>
      </w:r>
      <w:r>
        <w:t>programmes</w:t>
      </w:r>
    </w:p>
    <w:p w14:paraId="1D02E709" w14:textId="77777777" w:rsidR="00612C3A" w:rsidRDefault="00612C3A">
      <w:pPr>
        <w:rPr>
          <w:rFonts w:ascii="Symbol" w:hAnsi="Symbol"/>
          <w:sz w:val="20"/>
        </w:rPr>
        <w:sectPr w:rsidR="00612C3A">
          <w:pgSz w:w="12240" w:h="15840"/>
          <w:pgMar w:top="1380" w:right="1340" w:bottom="1200" w:left="1340" w:header="0" w:footer="1014" w:gutter="0"/>
          <w:cols w:space="720"/>
        </w:sectPr>
      </w:pPr>
    </w:p>
    <w:p w14:paraId="13660084" w14:textId="1A19C4D4" w:rsidR="00612C3A" w:rsidRPr="00D30690" w:rsidRDefault="00612C3A" w:rsidP="00D30690">
      <w:pPr>
        <w:tabs>
          <w:tab w:val="left" w:pos="820"/>
          <w:tab w:val="left" w:pos="821"/>
        </w:tabs>
        <w:spacing w:before="75"/>
        <w:ind w:right="509"/>
        <w:rPr>
          <w:rFonts w:ascii="Symbol" w:hAnsi="Symbol"/>
          <w:color w:val="272423"/>
          <w:sz w:val="20"/>
        </w:rPr>
      </w:pPr>
    </w:p>
    <w:p w14:paraId="4B2E7CED" w14:textId="77777777" w:rsidR="00612C3A" w:rsidRDefault="00EB6D7C">
      <w:pPr>
        <w:pStyle w:val="ListParagraph"/>
        <w:numPr>
          <w:ilvl w:val="1"/>
          <w:numId w:val="3"/>
        </w:numPr>
        <w:tabs>
          <w:tab w:val="left" w:pos="820"/>
          <w:tab w:val="left" w:pos="821"/>
        </w:tabs>
        <w:spacing w:before="1"/>
        <w:rPr>
          <w:rFonts w:ascii="Symbol" w:hAnsi="Symbol"/>
          <w:color w:val="272423"/>
          <w:sz w:val="20"/>
        </w:rPr>
      </w:pPr>
      <w:r>
        <w:rPr>
          <w:color w:val="272423"/>
        </w:rPr>
        <w:t>Processing a donation that you have</w:t>
      </w:r>
      <w:r>
        <w:rPr>
          <w:color w:val="272423"/>
          <w:spacing w:val="-13"/>
        </w:rPr>
        <w:t xml:space="preserve"> </w:t>
      </w:r>
      <w:r>
        <w:rPr>
          <w:color w:val="272423"/>
        </w:rPr>
        <w:t>made</w:t>
      </w:r>
    </w:p>
    <w:p w14:paraId="517B7A0C" w14:textId="77777777" w:rsidR="00612C3A" w:rsidRDefault="00EB6D7C">
      <w:pPr>
        <w:pStyle w:val="ListParagraph"/>
        <w:numPr>
          <w:ilvl w:val="1"/>
          <w:numId w:val="3"/>
        </w:numPr>
        <w:tabs>
          <w:tab w:val="left" w:pos="820"/>
          <w:tab w:val="left" w:pos="821"/>
        </w:tabs>
        <w:spacing w:line="267" w:lineRule="exact"/>
        <w:rPr>
          <w:rFonts w:ascii="Symbol" w:hAnsi="Symbol"/>
          <w:color w:val="272423"/>
          <w:sz w:val="20"/>
        </w:rPr>
      </w:pPr>
      <w:r>
        <w:rPr>
          <w:color w:val="272423"/>
        </w:rPr>
        <w:t>Processing volunteer</w:t>
      </w:r>
      <w:r>
        <w:rPr>
          <w:color w:val="272423"/>
          <w:spacing w:val="-4"/>
        </w:rPr>
        <w:t xml:space="preserve"> </w:t>
      </w:r>
      <w:r>
        <w:rPr>
          <w:color w:val="272423"/>
        </w:rPr>
        <w:t>registrations</w:t>
      </w:r>
    </w:p>
    <w:p w14:paraId="0905F20F" w14:textId="77777777" w:rsidR="00612C3A" w:rsidRDefault="00EB6D7C">
      <w:pPr>
        <w:pStyle w:val="ListParagraph"/>
        <w:numPr>
          <w:ilvl w:val="1"/>
          <w:numId w:val="3"/>
        </w:numPr>
        <w:tabs>
          <w:tab w:val="left" w:pos="820"/>
          <w:tab w:val="left" w:pos="821"/>
        </w:tabs>
        <w:spacing w:line="267" w:lineRule="exact"/>
        <w:rPr>
          <w:rFonts w:ascii="Symbol" w:hAnsi="Symbol"/>
          <w:color w:val="272423"/>
          <w:sz w:val="20"/>
        </w:rPr>
      </w:pPr>
      <w:r>
        <w:rPr>
          <w:color w:val="272423"/>
        </w:rPr>
        <w:t>Conducting beneficiary</w:t>
      </w:r>
      <w:r>
        <w:rPr>
          <w:color w:val="272423"/>
          <w:spacing w:val="-1"/>
        </w:rPr>
        <w:t xml:space="preserve"> </w:t>
      </w:r>
      <w:r>
        <w:rPr>
          <w:color w:val="272423"/>
        </w:rPr>
        <w:t>research</w:t>
      </w:r>
    </w:p>
    <w:p w14:paraId="4423D8CE" w14:textId="77777777" w:rsidR="00612C3A" w:rsidRDefault="00EB6D7C">
      <w:pPr>
        <w:pStyle w:val="ListParagraph"/>
        <w:numPr>
          <w:ilvl w:val="1"/>
          <w:numId w:val="3"/>
        </w:numPr>
        <w:tabs>
          <w:tab w:val="left" w:pos="820"/>
          <w:tab w:val="left" w:pos="821"/>
        </w:tabs>
        <w:rPr>
          <w:rFonts w:ascii="Symbol" w:hAnsi="Symbol"/>
          <w:color w:val="272423"/>
          <w:sz w:val="20"/>
        </w:rPr>
      </w:pPr>
      <w:r>
        <w:rPr>
          <w:color w:val="272423"/>
        </w:rPr>
        <w:t>Processing a job</w:t>
      </w:r>
      <w:r>
        <w:rPr>
          <w:color w:val="272423"/>
          <w:spacing w:val="-5"/>
        </w:rPr>
        <w:t xml:space="preserve"> </w:t>
      </w:r>
      <w:r>
        <w:rPr>
          <w:color w:val="272423"/>
        </w:rPr>
        <w:t>application</w:t>
      </w:r>
    </w:p>
    <w:p w14:paraId="2E4128E2" w14:textId="77777777" w:rsidR="00612C3A" w:rsidRDefault="00EB6D7C">
      <w:pPr>
        <w:pStyle w:val="ListParagraph"/>
        <w:numPr>
          <w:ilvl w:val="1"/>
          <w:numId w:val="3"/>
        </w:numPr>
        <w:tabs>
          <w:tab w:val="left" w:pos="820"/>
          <w:tab w:val="left" w:pos="821"/>
        </w:tabs>
        <w:spacing w:before="1"/>
        <w:rPr>
          <w:rFonts w:ascii="Symbol" w:hAnsi="Symbol"/>
          <w:color w:val="272423"/>
          <w:sz w:val="20"/>
        </w:rPr>
      </w:pPr>
      <w:r>
        <w:rPr>
          <w:color w:val="272423"/>
        </w:rPr>
        <w:t>Responding to correspondence you have sent to</w:t>
      </w:r>
      <w:r>
        <w:rPr>
          <w:color w:val="272423"/>
          <w:spacing w:val="-10"/>
        </w:rPr>
        <w:t xml:space="preserve"> </w:t>
      </w:r>
      <w:r>
        <w:rPr>
          <w:color w:val="272423"/>
        </w:rPr>
        <w:t>us.</w:t>
      </w:r>
    </w:p>
    <w:p w14:paraId="14CA3BF9" w14:textId="77777777" w:rsidR="00612C3A" w:rsidRDefault="00612C3A">
      <w:pPr>
        <w:pStyle w:val="BodyText"/>
        <w:spacing w:before="10"/>
        <w:rPr>
          <w:sz w:val="30"/>
        </w:rPr>
      </w:pPr>
    </w:p>
    <w:p w14:paraId="2D6B7914" w14:textId="77777777" w:rsidR="00612C3A" w:rsidRDefault="00EB6D7C">
      <w:pPr>
        <w:pStyle w:val="Heading1"/>
        <w:numPr>
          <w:ilvl w:val="0"/>
          <w:numId w:val="3"/>
        </w:numPr>
        <w:tabs>
          <w:tab w:val="left" w:pos="324"/>
        </w:tabs>
        <w:ind w:left="323" w:hanging="223"/>
      </w:pPr>
      <w:r>
        <w:t>How we use your</w:t>
      </w:r>
      <w:r>
        <w:rPr>
          <w:spacing w:val="-6"/>
        </w:rPr>
        <w:t xml:space="preserve"> </w:t>
      </w:r>
      <w:r>
        <w:t>data</w:t>
      </w:r>
    </w:p>
    <w:p w14:paraId="0F10C1E5" w14:textId="77777777" w:rsidR="00612C3A" w:rsidRDefault="00612C3A">
      <w:pPr>
        <w:pStyle w:val="BodyText"/>
        <w:spacing w:before="1"/>
        <w:rPr>
          <w:b/>
          <w:sz w:val="23"/>
        </w:rPr>
      </w:pPr>
    </w:p>
    <w:p w14:paraId="10EB2890" w14:textId="77777777" w:rsidR="00612C3A" w:rsidRDefault="00EB6D7C">
      <w:pPr>
        <w:pStyle w:val="BodyText"/>
        <w:ind w:left="100" w:right="305"/>
        <w:jc w:val="both"/>
      </w:pPr>
      <w:r>
        <w:t>We may use your personal information for carefully considered and specific purposes aligned with our charitable objectives, to enable us to grow our reach and increase our impact on young lives using arts and therapy.</w:t>
      </w:r>
    </w:p>
    <w:p w14:paraId="287FE2E6" w14:textId="77777777" w:rsidR="00612C3A" w:rsidRDefault="00612C3A">
      <w:pPr>
        <w:pStyle w:val="BodyText"/>
        <w:spacing w:before="11"/>
      </w:pPr>
    </w:p>
    <w:p w14:paraId="4D304913" w14:textId="77777777" w:rsidR="00612C3A" w:rsidRDefault="00D30690">
      <w:pPr>
        <w:pStyle w:val="BodyText"/>
        <w:ind w:left="100"/>
      </w:pPr>
      <w:r>
        <w:t>The Quinn Centre</w:t>
      </w:r>
      <w:r w:rsidR="00EB6D7C">
        <w:t xml:space="preserve"> charitable objects are as follows;</w:t>
      </w:r>
    </w:p>
    <w:p w14:paraId="50704E98" w14:textId="77777777" w:rsidR="00612C3A" w:rsidRDefault="00612C3A">
      <w:pPr>
        <w:pStyle w:val="BodyText"/>
        <w:rPr>
          <w:sz w:val="23"/>
        </w:rPr>
      </w:pPr>
    </w:p>
    <w:p w14:paraId="7F83FE3F" w14:textId="77F42E2B" w:rsidR="00612C3A" w:rsidRDefault="00EB6D7C">
      <w:pPr>
        <w:pStyle w:val="BodyText"/>
        <w:spacing w:line="259" w:lineRule="auto"/>
        <w:ind w:left="100" w:right="121"/>
        <w:jc w:val="both"/>
      </w:pPr>
      <w:r>
        <w:t xml:space="preserve">‘To advance in life and help children and young people </w:t>
      </w:r>
      <w:r w:rsidR="00D30690">
        <w:t>across London</w:t>
      </w:r>
      <w:r>
        <w:t xml:space="preserve"> by providing support and creative activities which develop their skills, capacities and capabilities to enable them to participate in society as mature and responsible individuals’.</w:t>
      </w:r>
    </w:p>
    <w:p w14:paraId="5B70504E" w14:textId="77777777" w:rsidR="00612C3A" w:rsidRDefault="00612C3A">
      <w:pPr>
        <w:pStyle w:val="BodyText"/>
        <w:spacing w:before="9"/>
        <w:rPr>
          <w:sz w:val="30"/>
        </w:rPr>
      </w:pPr>
    </w:p>
    <w:p w14:paraId="7EC59A19" w14:textId="77777777" w:rsidR="00612C3A" w:rsidRDefault="00EB6D7C">
      <w:pPr>
        <w:pStyle w:val="Heading1"/>
        <w:numPr>
          <w:ilvl w:val="0"/>
          <w:numId w:val="3"/>
        </w:numPr>
        <w:tabs>
          <w:tab w:val="left" w:pos="324"/>
        </w:tabs>
        <w:spacing w:before="1"/>
        <w:ind w:left="323" w:hanging="223"/>
      </w:pPr>
      <w:r>
        <w:t>Who we might share this information with and</w:t>
      </w:r>
      <w:r>
        <w:rPr>
          <w:spacing w:val="-13"/>
        </w:rPr>
        <w:t xml:space="preserve"> </w:t>
      </w:r>
      <w:r>
        <w:t>why</w:t>
      </w:r>
    </w:p>
    <w:p w14:paraId="7DB5A225" w14:textId="77777777" w:rsidR="00612C3A" w:rsidRDefault="00612C3A">
      <w:pPr>
        <w:pStyle w:val="BodyText"/>
        <w:spacing w:before="5"/>
        <w:rPr>
          <w:b/>
          <w:sz w:val="18"/>
        </w:rPr>
      </w:pPr>
    </w:p>
    <w:p w14:paraId="3C1A6964" w14:textId="77777777" w:rsidR="00612C3A" w:rsidRDefault="00EB6D7C">
      <w:pPr>
        <w:pStyle w:val="BodyText"/>
        <w:spacing w:before="1"/>
        <w:ind w:left="100" w:right="280"/>
      </w:pPr>
      <w:r>
        <w:t>Sharing any information given is kept to an absolute minimum and we will never give your information to other organisations that you do not have direct relationships with e.g. third parties, to use for marketing, market research, promotions or such related purposes.</w:t>
      </w:r>
    </w:p>
    <w:p w14:paraId="5C49F638" w14:textId="77777777" w:rsidR="00612C3A" w:rsidRDefault="00612C3A">
      <w:pPr>
        <w:pStyle w:val="BodyText"/>
        <w:spacing w:before="10"/>
      </w:pPr>
    </w:p>
    <w:p w14:paraId="1C77BAD5" w14:textId="77777777" w:rsidR="00612C3A" w:rsidRDefault="00EB6D7C">
      <w:pPr>
        <w:pStyle w:val="BodyText"/>
        <w:ind w:left="100"/>
      </w:pPr>
      <w:r>
        <w:rPr>
          <w:color w:val="272423"/>
        </w:rPr>
        <w:t>Circumstances where sharing might / will be necessary are as follows;</w:t>
      </w:r>
    </w:p>
    <w:p w14:paraId="384733DA" w14:textId="77777777" w:rsidR="00612C3A" w:rsidRDefault="00612C3A">
      <w:pPr>
        <w:pStyle w:val="BodyText"/>
        <w:rPr>
          <w:sz w:val="23"/>
        </w:rPr>
      </w:pPr>
    </w:p>
    <w:p w14:paraId="1E9D0E0F" w14:textId="77777777" w:rsidR="00612C3A" w:rsidRDefault="00EB6D7C">
      <w:pPr>
        <w:pStyle w:val="ListParagraph"/>
        <w:numPr>
          <w:ilvl w:val="0"/>
          <w:numId w:val="1"/>
        </w:numPr>
        <w:tabs>
          <w:tab w:val="left" w:pos="820"/>
          <w:tab w:val="left" w:pos="821"/>
        </w:tabs>
        <w:spacing w:before="1"/>
        <w:ind w:right="311"/>
      </w:pPr>
      <w:r>
        <w:rPr>
          <w:color w:val="272423"/>
        </w:rPr>
        <w:t>Shared as part of a safeguarding or child protection concern – if information arises that causes concern about a child or young person’s safety or wellbeing (or the safety or wellbeing</w:t>
      </w:r>
      <w:r>
        <w:rPr>
          <w:color w:val="272423"/>
          <w:spacing w:val="-20"/>
        </w:rPr>
        <w:t xml:space="preserve"> </w:t>
      </w:r>
      <w:r>
        <w:rPr>
          <w:color w:val="272423"/>
        </w:rPr>
        <w:t>of</w:t>
      </w:r>
    </w:p>
    <w:p w14:paraId="0A312374" w14:textId="77777777" w:rsidR="00612C3A" w:rsidRDefault="00EB6D7C">
      <w:pPr>
        <w:pStyle w:val="BodyText"/>
        <w:ind w:left="820" w:right="106"/>
      </w:pPr>
      <w:r>
        <w:rPr>
          <w:color w:val="272423"/>
        </w:rPr>
        <w:t>someone they know) then there is a duty to share concerns to the appropriate body as a priority in accordance with child protection policies and legal obligations.</w:t>
      </w:r>
    </w:p>
    <w:p w14:paraId="1A29CFFE" w14:textId="77777777" w:rsidR="00612C3A" w:rsidRDefault="00EB6D7C">
      <w:pPr>
        <w:pStyle w:val="ListParagraph"/>
        <w:numPr>
          <w:ilvl w:val="0"/>
          <w:numId w:val="1"/>
        </w:numPr>
        <w:tabs>
          <w:tab w:val="left" w:pos="820"/>
          <w:tab w:val="left" w:pos="821"/>
        </w:tabs>
        <w:ind w:right="379"/>
      </w:pPr>
      <w:r>
        <w:rPr>
          <w:color w:val="272423"/>
        </w:rPr>
        <w:t>Shared as a legal duty – this is in the unlikely event of the records being required by law e.g. a court</w:t>
      </w:r>
      <w:r>
        <w:rPr>
          <w:color w:val="272423"/>
          <w:spacing w:val="-2"/>
        </w:rPr>
        <w:t xml:space="preserve"> </w:t>
      </w:r>
      <w:r>
        <w:rPr>
          <w:color w:val="272423"/>
        </w:rPr>
        <w:t>order</w:t>
      </w:r>
    </w:p>
    <w:p w14:paraId="511CF540" w14:textId="77777777" w:rsidR="00612C3A" w:rsidRDefault="00EB6D7C">
      <w:pPr>
        <w:pStyle w:val="ListParagraph"/>
        <w:numPr>
          <w:ilvl w:val="0"/>
          <w:numId w:val="1"/>
        </w:numPr>
        <w:tabs>
          <w:tab w:val="left" w:pos="820"/>
          <w:tab w:val="left" w:pos="821"/>
        </w:tabs>
        <w:ind w:right="136"/>
      </w:pPr>
      <w:r>
        <w:rPr>
          <w:color w:val="272423"/>
        </w:rPr>
        <w:t>Shared on occasion within supervisions; all registered therapists are required by their regulatory body (in this case BACP) to engage in regular supervision with an experienced and qualified practitioner. This is to provide additional support, protecting both client and counsellor, as well as offering up additional input into the work from another highly experienced</w:t>
      </w:r>
      <w:r>
        <w:rPr>
          <w:color w:val="272423"/>
          <w:spacing w:val="-17"/>
        </w:rPr>
        <w:t xml:space="preserve"> </w:t>
      </w:r>
      <w:r>
        <w:rPr>
          <w:color w:val="272423"/>
        </w:rPr>
        <w:t>professional.</w:t>
      </w:r>
    </w:p>
    <w:p w14:paraId="5EF97802" w14:textId="77777777" w:rsidR="00612C3A" w:rsidRDefault="00612C3A">
      <w:pPr>
        <w:sectPr w:rsidR="00612C3A">
          <w:pgSz w:w="12240" w:h="15840"/>
          <w:pgMar w:top="1340" w:right="1340" w:bottom="1200" w:left="1340" w:header="0" w:footer="1014" w:gutter="0"/>
          <w:cols w:space="720"/>
        </w:sectPr>
      </w:pPr>
    </w:p>
    <w:p w14:paraId="237DC3D0" w14:textId="77777777" w:rsidR="00612C3A" w:rsidRDefault="00EB6D7C">
      <w:pPr>
        <w:pStyle w:val="Heading1"/>
        <w:numPr>
          <w:ilvl w:val="0"/>
          <w:numId w:val="3"/>
        </w:numPr>
        <w:tabs>
          <w:tab w:val="left" w:pos="324"/>
        </w:tabs>
        <w:spacing w:before="35"/>
        <w:ind w:left="323" w:hanging="223"/>
      </w:pPr>
      <w:r>
        <w:lastRenderedPageBreak/>
        <w:t>How do we protect your</w:t>
      </w:r>
      <w:r>
        <w:rPr>
          <w:spacing w:val="-7"/>
        </w:rPr>
        <w:t xml:space="preserve"> </w:t>
      </w:r>
      <w:r>
        <w:t>data?</w:t>
      </w:r>
    </w:p>
    <w:p w14:paraId="2ACDC94C" w14:textId="77777777" w:rsidR="00612C3A" w:rsidRDefault="00612C3A">
      <w:pPr>
        <w:pStyle w:val="BodyText"/>
        <w:spacing w:before="10"/>
        <w:rPr>
          <w:b/>
        </w:rPr>
      </w:pPr>
    </w:p>
    <w:p w14:paraId="33B02E12" w14:textId="77777777" w:rsidR="00612C3A" w:rsidRDefault="00EB6D7C">
      <w:pPr>
        <w:pStyle w:val="BodyText"/>
        <w:spacing w:before="1"/>
        <w:ind w:left="100" w:right="223"/>
      </w:pPr>
      <w:r>
        <w:rPr>
          <w:color w:val="272423"/>
        </w:rPr>
        <w:t>We implement children services best practice efforts to safeguard the confidentiality of your data. All the data collected by us is stored in encrypted cloud services. All data we transfer is transferred via password protected files. However, please keep in mind that the internet and the World Wide Web are not secure mediums.</w:t>
      </w:r>
    </w:p>
    <w:p w14:paraId="08E42AA1" w14:textId="77777777" w:rsidR="00612C3A" w:rsidRDefault="00612C3A">
      <w:pPr>
        <w:pStyle w:val="BodyText"/>
        <w:rPr>
          <w:sz w:val="23"/>
        </w:rPr>
      </w:pPr>
    </w:p>
    <w:p w14:paraId="34441DE8" w14:textId="77777777" w:rsidR="00612C3A" w:rsidRDefault="00EB6D7C">
      <w:pPr>
        <w:pStyle w:val="Heading1"/>
        <w:numPr>
          <w:ilvl w:val="0"/>
          <w:numId w:val="3"/>
        </w:numPr>
        <w:tabs>
          <w:tab w:val="left" w:pos="324"/>
        </w:tabs>
        <w:spacing w:before="1"/>
        <w:ind w:left="323" w:hanging="223"/>
      </w:pPr>
      <w:r>
        <w:t>How long do we store</w:t>
      </w:r>
      <w:r>
        <w:rPr>
          <w:spacing w:val="-12"/>
        </w:rPr>
        <w:t xml:space="preserve"> </w:t>
      </w:r>
      <w:r>
        <w:t>information?</w:t>
      </w:r>
    </w:p>
    <w:p w14:paraId="343C28B2" w14:textId="77777777" w:rsidR="00612C3A" w:rsidRDefault="00612C3A">
      <w:pPr>
        <w:pStyle w:val="BodyText"/>
        <w:spacing w:before="9"/>
        <w:rPr>
          <w:b/>
        </w:rPr>
      </w:pPr>
    </w:p>
    <w:p w14:paraId="51B9CB77" w14:textId="75A4962D" w:rsidR="00612C3A" w:rsidRDefault="00EB6D7C" w:rsidP="00D30690">
      <w:pPr>
        <w:pStyle w:val="BodyText"/>
        <w:spacing w:before="1"/>
        <w:ind w:left="100" w:right="147"/>
      </w:pPr>
      <w:r>
        <w:t xml:space="preserve">We keep information on young people until they are no longer eligible to participate in </w:t>
      </w:r>
      <w:r w:rsidR="00D30690">
        <w:t>The Quinn Centre</w:t>
      </w:r>
      <w:r>
        <w:t xml:space="preserve"> services when the</w:t>
      </w:r>
      <w:r w:rsidR="00D30690">
        <w:t>y turn 18</w:t>
      </w:r>
      <w:r>
        <w:t xml:space="preserve">. </w:t>
      </w:r>
    </w:p>
    <w:p w14:paraId="5FBF79C2" w14:textId="77777777" w:rsidR="00612C3A" w:rsidRDefault="00612C3A">
      <w:pPr>
        <w:pStyle w:val="BodyText"/>
        <w:rPr>
          <w:sz w:val="31"/>
        </w:rPr>
      </w:pPr>
    </w:p>
    <w:p w14:paraId="4FAEE609" w14:textId="77777777" w:rsidR="00612C3A" w:rsidRDefault="00EB6D7C">
      <w:pPr>
        <w:pStyle w:val="Heading1"/>
        <w:numPr>
          <w:ilvl w:val="0"/>
          <w:numId w:val="3"/>
        </w:numPr>
        <w:tabs>
          <w:tab w:val="left" w:pos="372"/>
        </w:tabs>
        <w:ind w:left="371"/>
      </w:pPr>
      <w:r>
        <w:t>How will we dispose of the</w:t>
      </w:r>
      <w:r>
        <w:rPr>
          <w:spacing w:val="-9"/>
        </w:rPr>
        <w:t xml:space="preserve"> </w:t>
      </w:r>
      <w:r>
        <w:t>information?</w:t>
      </w:r>
    </w:p>
    <w:p w14:paraId="03BBC9F4" w14:textId="77777777" w:rsidR="00612C3A" w:rsidRDefault="00612C3A">
      <w:pPr>
        <w:pStyle w:val="BodyText"/>
        <w:spacing w:before="3"/>
        <w:rPr>
          <w:b/>
          <w:sz w:val="18"/>
        </w:rPr>
      </w:pPr>
    </w:p>
    <w:p w14:paraId="563F5195" w14:textId="77777777" w:rsidR="00612C3A" w:rsidRDefault="00EB6D7C">
      <w:pPr>
        <w:pStyle w:val="BodyText"/>
        <w:spacing w:before="1"/>
        <w:ind w:left="100"/>
      </w:pPr>
      <w:r>
        <w:t>All information stored electronically will be deleted, and any hard-copies will be shredded.</w:t>
      </w:r>
    </w:p>
    <w:p w14:paraId="5629A6F5" w14:textId="77777777" w:rsidR="00612C3A" w:rsidRDefault="00612C3A">
      <w:pPr>
        <w:pStyle w:val="BodyText"/>
        <w:spacing w:before="8"/>
        <w:rPr>
          <w:sz w:val="30"/>
        </w:rPr>
      </w:pPr>
    </w:p>
    <w:p w14:paraId="16F6D914" w14:textId="77777777" w:rsidR="00612C3A" w:rsidRDefault="00EB6D7C">
      <w:pPr>
        <w:pStyle w:val="Heading1"/>
        <w:numPr>
          <w:ilvl w:val="0"/>
          <w:numId w:val="3"/>
        </w:numPr>
        <w:tabs>
          <w:tab w:val="left" w:pos="485"/>
        </w:tabs>
        <w:ind w:left="484" w:hanging="334"/>
      </w:pPr>
      <w:r>
        <w:t>Links to other</w:t>
      </w:r>
      <w:r>
        <w:rPr>
          <w:spacing w:val="-6"/>
        </w:rPr>
        <w:t xml:space="preserve"> </w:t>
      </w:r>
      <w:r>
        <w:t>websites</w:t>
      </w:r>
    </w:p>
    <w:p w14:paraId="16F2801A" w14:textId="77777777" w:rsidR="00612C3A" w:rsidRDefault="00612C3A">
      <w:pPr>
        <w:pStyle w:val="BodyText"/>
        <w:spacing w:before="6"/>
        <w:rPr>
          <w:b/>
          <w:sz w:val="18"/>
        </w:rPr>
      </w:pPr>
    </w:p>
    <w:p w14:paraId="702922E2" w14:textId="717F9616" w:rsidR="00612C3A" w:rsidRDefault="00D30690">
      <w:pPr>
        <w:pStyle w:val="BodyText"/>
        <w:spacing w:before="1"/>
        <w:ind w:left="100" w:right="161"/>
      </w:pPr>
      <w:r>
        <w:rPr>
          <w:color w:val="272423"/>
        </w:rPr>
        <w:t>The Quinn Centre</w:t>
      </w:r>
      <w:r w:rsidR="00EB6D7C">
        <w:rPr>
          <w:color w:val="272423"/>
        </w:rPr>
        <w:t xml:space="preserve"> Website contains links to other websites, for example links to supporters and partners. We are only responsible for the privacy practices and security of this Site which we control. We are not responsible for the privacy policies, content or security of any linked websites. We recommend that you check the privacy and security policies of each and every website that you visit through our Site.</w:t>
      </w:r>
    </w:p>
    <w:p w14:paraId="752C3634" w14:textId="77777777" w:rsidR="00612C3A" w:rsidRDefault="00612C3A">
      <w:pPr>
        <w:pStyle w:val="BodyText"/>
        <w:spacing w:before="9"/>
        <w:rPr>
          <w:sz w:val="30"/>
        </w:rPr>
      </w:pPr>
    </w:p>
    <w:p w14:paraId="4E41C935" w14:textId="78546D0D" w:rsidR="00612C3A" w:rsidRDefault="00D30690" w:rsidP="00D30690">
      <w:pPr>
        <w:pStyle w:val="Heading1"/>
        <w:numPr>
          <w:ilvl w:val="0"/>
          <w:numId w:val="3"/>
        </w:numPr>
        <w:tabs>
          <w:tab w:val="left" w:pos="434"/>
        </w:tabs>
        <w:ind w:left="433" w:hanging="333"/>
      </w:pPr>
      <w:r>
        <w:t>A</w:t>
      </w:r>
      <w:r w:rsidR="00EB6D7C">
        <w:t>mending your</w:t>
      </w:r>
      <w:r w:rsidR="00EB6D7C">
        <w:rPr>
          <w:spacing w:val="-4"/>
        </w:rPr>
        <w:t xml:space="preserve"> </w:t>
      </w:r>
      <w:r w:rsidR="00EB6D7C">
        <w:t>data</w:t>
      </w:r>
    </w:p>
    <w:p w14:paraId="4CD0D44A" w14:textId="77777777" w:rsidR="00612C3A" w:rsidRDefault="00612C3A">
      <w:pPr>
        <w:pStyle w:val="BodyText"/>
        <w:spacing w:before="3"/>
        <w:rPr>
          <w:sz w:val="23"/>
        </w:rPr>
      </w:pPr>
    </w:p>
    <w:p w14:paraId="026CF327" w14:textId="77777777" w:rsidR="00612C3A" w:rsidRDefault="00EB6D7C">
      <w:pPr>
        <w:pStyle w:val="BodyText"/>
        <w:spacing w:line="237" w:lineRule="auto"/>
        <w:ind w:left="100" w:right="358"/>
      </w:pPr>
      <w:r>
        <w:rPr>
          <w:color w:val="272423"/>
        </w:rPr>
        <w:t>You are entitled by law to find out what data of yours we hold. You have the right to receive a copy of the data we hold about you.</w:t>
      </w:r>
    </w:p>
    <w:p w14:paraId="28B8D199" w14:textId="77777777" w:rsidR="00612C3A" w:rsidRDefault="00612C3A">
      <w:pPr>
        <w:pStyle w:val="BodyText"/>
        <w:spacing w:before="2"/>
        <w:rPr>
          <w:sz w:val="23"/>
        </w:rPr>
      </w:pPr>
    </w:p>
    <w:p w14:paraId="554D976D" w14:textId="7227BF9A" w:rsidR="00612C3A" w:rsidRDefault="00EB6D7C">
      <w:pPr>
        <w:pStyle w:val="BodyText"/>
        <w:ind w:left="100" w:right="108"/>
      </w:pPr>
      <w:r>
        <w:rPr>
          <w:color w:val="272423"/>
        </w:rPr>
        <w:t xml:space="preserve">You can also amend or remove information you give us by emailing </w:t>
      </w:r>
      <w:r w:rsidR="00D30690">
        <w:rPr>
          <w:color w:val="272423"/>
        </w:rPr>
        <w:t>info</w:t>
      </w:r>
      <w:hyperlink r:id="rId9">
        <w:r>
          <w:rPr>
            <w:color w:val="0000FF"/>
            <w:u w:val="single" w:color="0000FF"/>
          </w:rPr>
          <w:t>@</w:t>
        </w:r>
        <w:r w:rsidR="00D30690">
          <w:rPr>
            <w:color w:val="0000FF"/>
            <w:u w:val="single" w:color="0000FF"/>
          </w:rPr>
          <w:t>The Quinn Centre</w:t>
        </w:r>
        <w:r>
          <w:rPr>
            <w:color w:val="0000FF"/>
            <w:u w:val="single" w:color="0000FF"/>
          </w:rPr>
          <w:t>.</w:t>
        </w:r>
        <w:r w:rsidR="00D30690">
          <w:rPr>
            <w:color w:val="0000FF"/>
            <w:u w:val="single" w:color="0000FF"/>
          </w:rPr>
          <w:t>co.uk</w:t>
        </w:r>
        <w:r>
          <w:rPr>
            <w:color w:val="0000FF"/>
          </w:rPr>
          <w:t xml:space="preserve"> </w:t>
        </w:r>
      </w:hyperlink>
      <w:r>
        <w:rPr>
          <w:color w:val="272423"/>
        </w:rPr>
        <w:t xml:space="preserve">or calling </w:t>
      </w:r>
      <w:r w:rsidR="00D30690">
        <w:rPr>
          <w:color w:val="272423"/>
        </w:rPr>
        <w:t>07808 857 530</w:t>
      </w:r>
    </w:p>
    <w:p w14:paraId="1CB70DF6" w14:textId="77777777" w:rsidR="00612C3A" w:rsidRDefault="00612C3A">
      <w:pPr>
        <w:pStyle w:val="BodyText"/>
        <w:spacing w:before="9"/>
        <w:rPr>
          <w:sz w:val="30"/>
        </w:rPr>
      </w:pPr>
    </w:p>
    <w:p w14:paraId="359F5648" w14:textId="77777777" w:rsidR="00612C3A" w:rsidRDefault="00EB6D7C">
      <w:pPr>
        <w:pStyle w:val="Heading1"/>
        <w:numPr>
          <w:ilvl w:val="0"/>
          <w:numId w:val="3"/>
        </w:numPr>
        <w:tabs>
          <w:tab w:val="left" w:pos="435"/>
        </w:tabs>
        <w:ind w:left="434" w:hanging="334"/>
      </w:pPr>
      <w:r>
        <w:t>What happens in the event of a data</w:t>
      </w:r>
      <w:r>
        <w:rPr>
          <w:spacing w:val="-6"/>
        </w:rPr>
        <w:t xml:space="preserve"> </w:t>
      </w:r>
      <w:r>
        <w:t>breach?</w:t>
      </w:r>
    </w:p>
    <w:p w14:paraId="3CBDDFAC" w14:textId="77777777" w:rsidR="00612C3A" w:rsidRDefault="00612C3A">
      <w:pPr>
        <w:pStyle w:val="BodyText"/>
        <w:spacing w:before="6"/>
        <w:rPr>
          <w:b/>
          <w:sz w:val="18"/>
        </w:rPr>
      </w:pPr>
    </w:p>
    <w:p w14:paraId="5B3AA951" w14:textId="77777777" w:rsidR="00612C3A" w:rsidRDefault="00EB6D7C">
      <w:pPr>
        <w:pStyle w:val="BodyText"/>
        <w:ind w:left="100" w:right="517"/>
      </w:pPr>
      <w:r>
        <w:rPr>
          <w:color w:val="272423"/>
        </w:rPr>
        <w:t>In the unlikely event of a data breach, we have a duty to inform you and the ICO within 72 hour of it occurring.</w:t>
      </w:r>
    </w:p>
    <w:p w14:paraId="4C2A00E1" w14:textId="77777777" w:rsidR="00612C3A" w:rsidRDefault="00612C3A">
      <w:pPr>
        <w:rPr>
          <w:color w:val="272423"/>
        </w:rPr>
      </w:pPr>
    </w:p>
    <w:p w14:paraId="4420DB08" w14:textId="19B73F38" w:rsidR="00D30690" w:rsidRDefault="00D30690" w:rsidP="00D30690">
      <w:pPr>
        <w:tabs>
          <w:tab w:val="left" w:pos="900"/>
        </w:tabs>
        <w:rPr>
          <w:color w:val="272423"/>
        </w:rPr>
      </w:pPr>
    </w:p>
    <w:p w14:paraId="747E6E7A" w14:textId="3B7FA257" w:rsidR="00D30690" w:rsidRPr="00D30690" w:rsidRDefault="00D30690" w:rsidP="00D30690">
      <w:pPr>
        <w:tabs>
          <w:tab w:val="left" w:pos="900"/>
        </w:tabs>
        <w:sectPr w:rsidR="00D30690" w:rsidRPr="00D30690">
          <w:pgSz w:w="12240" w:h="15840"/>
          <w:pgMar w:top="1380" w:right="1340" w:bottom="1200" w:left="1340" w:header="0" w:footer="1014" w:gutter="0"/>
          <w:cols w:space="720"/>
        </w:sectPr>
      </w:pPr>
      <w:r>
        <w:tab/>
      </w:r>
    </w:p>
    <w:p w14:paraId="3161274C" w14:textId="77777777" w:rsidR="00612C3A" w:rsidRDefault="00EB6D7C">
      <w:pPr>
        <w:pStyle w:val="Heading1"/>
        <w:numPr>
          <w:ilvl w:val="0"/>
          <w:numId w:val="3"/>
        </w:numPr>
        <w:tabs>
          <w:tab w:val="left" w:pos="435"/>
        </w:tabs>
        <w:spacing w:before="35"/>
        <w:ind w:left="434" w:hanging="334"/>
      </w:pPr>
      <w:r>
        <w:lastRenderedPageBreak/>
        <w:t>Children and Young People’s</w:t>
      </w:r>
      <w:r>
        <w:rPr>
          <w:spacing w:val="-4"/>
        </w:rPr>
        <w:t xml:space="preserve"> </w:t>
      </w:r>
      <w:r>
        <w:t>Consent</w:t>
      </w:r>
    </w:p>
    <w:p w14:paraId="772D5484" w14:textId="77777777" w:rsidR="00612C3A" w:rsidRDefault="00612C3A">
      <w:pPr>
        <w:pStyle w:val="BodyText"/>
        <w:spacing w:before="4"/>
        <w:rPr>
          <w:b/>
          <w:sz w:val="18"/>
        </w:rPr>
      </w:pPr>
    </w:p>
    <w:p w14:paraId="211037DA" w14:textId="77777777" w:rsidR="00612C3A" w:rsidRDefault="00EB6D7C">
      <w:pPr>
        <w:pStyle w:val="BodyText"/>
        <w:ind w:left="100" w:right="284"/>
      </w:pPr>
      <w:r>
        <w:t>Law makers consultations over the laws regarding the consent of children and young people is still ongoing at the moment but we will keep you informed of any further relevant changes that may affect you / your child.</w:t>
      </w:r>
    </w:p>
    <w:p w14:paraId="5E2D116E" w14:textId="2601102D" w:rsidR="00612C3A" w:rsidRDefault="00612C3A">
      <w:pPr>
        <w:pStyle w:val="BodyText"/>
        <w:spacing w:before="3"/>
        <w:rPr>
          <w:color w:val="272423"/>
        </w:rPr>
      </w:pPr>
    </w:p>
    <w:p w14:paraId="11D6571B" w14:textId="77777777" w:rsidR="00D30690" w:rsidRDefault="00D30690">
      <w:pPr>
        <w:pStyle w:val="BodyText"/>
        <w:spacing w:before="3"/>
        <w:rPr>
          <w:sz w:val="18"/>
        </w:rPr>
      </w:pPr>
    </w:p>
    <w:p w14:paraId="0202965C" w14:textId="77777777" w:rsidR="00612C3A" w:rsidRDefault="00EB6D7C">
      <w:pPr>
        <w:pStyle w:val="Heading1"/>
        <w:numPr>
          <w:ilvl w:val="0"/>
          <w:numId w:val="3"/>
        </w:numPr>
        <w:tabs>
          <w:tab w:val="left" w:pos="483"/>
        </w:tabs>
        <w:spacing w:before="56"/>
        <w:ind w:left="482" w:hanging="332"/>
      </w:pPr>
      <w:r>
        <w:t>Contact us</w:t>
      </w:r>
    </w:p>
    <w:p w14:paraId="384F0264" w14:textId="77777777" w:rsidR="00612C3A" w:rsidRDefault="00612C3A">
      <w:pPr>
        <w:pStyle w:val="BodyText"/>
        <w:rPr>
          <w:b/>
          <w:sz w:val="23"/>
        </w:rPr>
      </w:pPr>
    </w:p>
    <w:p w14:paraId="4A1B8E4C" w14:textId="69F698D5" w:rsidR="00612C3A" w:rsidRDefault="00EB6D7C">
      <w:pPr>
        <w:pStyle w:val="BodyText"/>
        <w:ind w:left="100" w:right="360"/>
      </w:pPr>
      <w:r>
        <w:rPr>
          <w:color w:val="272423"/>
        </w:rPr>
        <w:t xml:space="preserve">If you have any comments or questions about this privacy policy, the practices of our website, or your dealings with </w:t>
      </w:r>
      <w:r w:rsidR="00D30690">
        <w:rPr>
          <w:color w:val="272423"/>
        </w:rPr>
        <w:t>The Quinn Centre</w:t>
      </w:r>
      <w:r>
        <w:rPr>
          <w:color w:val="272423"/>
        </w:rPr>
        <w:t xml:space="preserve">, please contact </w:t>
      </w:r>
      <w:hyperlink r:id="rId10">
        <w:r w:rsidR="00D30690">
          <w:rPr>
            <w:color w:val="0000FF"/>
            <w:u w:val="single" w:color="0000FF"/>
          </w:rPr>
          <w:t>info</w:t>
        </w:r>
        <w:r>
          <w:rPr>
            <w:color w:val="0000FF"/>
            <w:u w:val="single" w:color="0000FF"/>
          </w:rPr>
          <w:t>@</w:t>
        </w:r>
        <w:r w:rsidR="00D30690">
          <w:rPr>
            <w:color w:val="0000FF"/>
            <w:u w:val="single" w:color="0000FF"/>
          </w:rPr>
          <w:t>The Quinn Centre</w:t>
        </w:r>
        <w:r>
          <w:rPr>
            <w:color w:val="0000FF"/>
            <w:u w:val="single" w:color="0000FF"/>
          </w:rPr>
          <w:t>.</w:t>
        </w:r>
        <w:r w:rsidR="00D30690">
          <w:rPr>
            <w:color w:val="0000FF"/>
            <w:u w:val="single" w:color="0000FF"/>
          </w:rPr>
          <w:t>co.uk</w:t>
        </w:r>
        <w:r>
          <w:rPr>
            <w:color w:val="0000FF"/>
          </w:rPr>
          <w:t xml:space="preserve"> </w:t>
        </w:r>
      </w:hyperlink>
      <w:r>
        <w:rPr>
          <w:color w:val="272423"/>
        </w:rPr>
        <w:t xml:space="preserve">or call </w:t>
      </w:r>
      <w:r w:rsidR="00D30690">
        <w:rPr>
          <w:color w:val="272423"/>
        </w:rPr>
        <w:t>07808 857 530</w:t>
      </w:r>
    </w:p>
    <w:p w14:paraId="1E2ECD88" w14:textId="77777777" w:rsidR="00612C3A" w:rsidRDefault="00612C3A">
      <w:pPr>
        <w:pStyle w:val="BodyText"/>
        <w:spacing w:before="4"/>
        <w:rPr>
          <w:sz w:val="18"/>
        </w:rPr>
      </w:pPr>
    </w:p>
    <w:p w14:paraId="048F9EAB" w14:textId="309798BB" w:rsidR="00612C3A" w:rsidRDefault="00D30690">
      <w:pPr>
        <w:spacing w:before="56"/>
        <w:ind w:left="100"/>
        <w:rPr>
          <w:b/>
        </w:rPr>
      </w:pPr>
      <w:r>
        <w:rPr>
          <w:b/>
          <w:color w:val="272423"/>
        </w:rPr>
        <w:t>August 2019</w:t>
      </w:r>
    </w:p>
    <w:sectPr w:rsidR="00612C3A">
      <w:pgSz w:w="12240" w:h="15840"/>
      <w:pgMar w:top="1380" w:right="134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14A0" w14:textId="77777777" w:rsidR="00335917" w:rsidRDefault="00335917">
      <w:r>
        <w:separator/>
      </w:r>
    </w:p>
  </w:endnote>
  <w:endnote w:type="continuationSeparator" w:id="0">
    <w:p w14:paraId="71FED677" w14:textId="77777777" w:rsidR="00335917" w:rsidRDefault="0033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F7A5" w14:textId="77777777" w:rsidR="00612C3A" w:rsidRDefault="00335917">
    <w:pPr>
      <w:pStyle w:val="BodyText"/>
      <w:spacing w:line="14" w:lineRule="auto"/>
      <w:rPr>
        <w:sz w:val="20"/>
      </w:rPr>
    </w:pPr>
    <w:r>
      <w:pict w14:anchorId="02018DFA">
        <v:shapetype id="_x0000_t202" coordsize="21600,21600" o:spt="202" path="m,l,21600r21600,l21600,xe">
          <v:stroke joinstyle="miter"/>
          <v:path gradientshapeok="t" o:connecttype="rect"/>
        </v:shapetype>
        <v:shape id="_x0000_s2049" type="#_x0000_t202" style="position:absolute;margin-left:532.6pt;margin-top:730.25pt;width:9.6pt;height:13.05pt;z-index:-251658752;mso-position-horizontal-relative:page;mso-position-vertical-relative:page" filled="f" stroked="f">
          <v:textbox inset="0,0,0,0">
            <w:txbxContent>
              <w:p w14:paraId="10B05F41" w14:textId="77777777" w:rsidR="00612C3A" w:rsidRDefault="00EB6D7C">
                <w:pPr>
                  <w:pStyle w:val="BodyText"/>
                  <w:spacing w:line="245" w:lineRule="exact"/>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1141" w14:textId="77777777" w:rsidR="00335917" w:rsidRDefault="00335917">
      <w:r>
        <w:separator/>
      </w:r>
    </w:p>
  </w:footnote>
  <w:footnote w:type="continuationSeparator" w:id="0">
    <w:p w14:paraId="67F64EDE" w14:textId="77777777" w:rsidR="00335917" w:rsidRDefault="0033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27A"/>
    <w:multiLevelType w:val="hybridMultilevel"/>
    <w:tmpl w:val="7CEAB29A"/>
    <w:lvl w:ilvl="0" w:tplc="5C301140">
      <w:numFmt w:val="bullet"/>
      <w:lvlText w:val=""/>
      <w:lvlJc w:val="left"/>
      <w:pPr>
        <w:ind w:left="820" w:hanging="360"/>
      </w:pPr>
      <w:rPr>
        <w:rFonts w:ascii="Symbol" w:eastAsia="Symbol" w:hAnsi="Symbol" w:cs="Symbol" w:hint="default"/>
        <w:color w:val="272423"/>
        <w:w w:val="99"/>
        <w:sz w:val="20"/>
        <w:szCs w:val="20"/>
        <w:lang w:val="en-US" w:eastAsia="en-US" w:bidi="en-US"/>
      </w:rPr>
    </w:lvl>
    <w:lvl w:ilvl="1" w:tplc="0A3C0EF0">
      <w:numFmt w:val="bullet"/>
      <w:lvlText w:val="•"/>
      <w:lvlJc w:val="left"/>
      <w:pPr>
        <w:ind w:left="1694" w:hanging="360"/>
      </w:pPr>
      <w:rPr>
        <w:rFonts w:hint="default"/>
        <w:lang w:val="en-US" w:eastAsia="en-US" w:bidi="en-US"/>
      </w:rPr>
    </w:lvl>
    <w:lvl w:ilvl="2" w:tplc="73B688C6">
      <w:numFmt w:val="bullet"/>
      <w:lvlText w:val="•"/>
      <w:lvlJc w:val="left"/>
      <w:pPr>
        <w:ind w:left="2568" w:hanging="360"/>
      </w:pPr>
      <w:rPr>
        <w:rFonts w:hint="default"/>
        <w:lang w:val="en-US" w:eastAsia="en-US" w:bidi="en-US"/>
      </w:rPr>
    </w:lvl>
    <w:lvl w:ilvl="3" w:tplc="AFFE4560">
      <w:numFmt w:val="bullet"/>
      <w:lvlText w:val="•"/>
      <w:lvlJc w:val="left"/>
      <w:pPr>
        <w:ind w:left="3442" w:hanging="360"/>
      </w:pPr>
      <w:rPr>
        <w:rFonts w:hint="default"/>
        <w:lang w:val="en-US" w:eastAsia="en-US" w:bidi="en-US"/>
      </w:rPr>
    </w:lvl>
    <w:lvl w:ilvl="4" w:tplc="F4446398">
      <w:numFmt w:val="bullet"/>
      <w:lvlText w:val="•"/>
      <w:lvlJc w:val="left"/>
      <w:pPr>
        <w:ind w:left="4316" w:hanging="360"/>
      </w:pPr>
      <w:rPr>
        <w:rFonts w:hint="default"/>
        <w:lang w:val="en-US" w:eastAsia="en-US" w:bidi="en-US"/>
      </w:rPr>
    </w:lvl>
    <w:lvl w:ilvl="5" w:tplc="2458B166">
      <w:numFmt w:val="bullet"/>
      <w:lvlText w:val="•"/>
      <w:lvlJc w:val="left"/>
      <w:pPr>
        <w:ind w:left="5190" w:hanging="360"/>
      </w:pPr>
      <w:rPr>
        <w:rFonts w:hint="default"/>
        <w:lang w:val="en-US" w:eastAsia="en-US" w:bidi="en-US"/>
      </w:rPr>
    </w:lvl>
    <w:lvl w:ilvl="6" w:tplc="4CA6F37E">
      <w:numFmt w:val="bullet"/>
      <w:lvlText w:val="•"/>
      <w:lvlJc w:val="left"/>
      <w:pPr>
        <w:ind w:left="6064" w:hanging="360"/>
      </w:pPr>
      <w:rPr>
        <w:rFonts w:hint="default"/>
        <w:lang w:val="en-US" w:eastAsia="en-US" w:bidi="en-US"/>
      </w:rPr>
    </w:lvl>
    <w:lvl w:ilvl="7" w:tplc="CE64656C">
      <w:numFmt w:val="bullet"/>
      <w:lvlText w:val="•"/>
      <w:lvlJc w:val="left"/>
      <w:pPr>
        <w:ind w:left="6938" w:hanging="360"/>
      </w:pPr>
      <w:rPr>
        <w:rFonts w:hint="default"/>
        <w:lang w:val="en-US" w:eastAsia="en-US" w:bidi="en-US"/>
      </w:rPr>
    </w:lvl>
    <w:lvl w:ilvl="8" w:tplc="6FA222F2">
      <w:numFmt w:val="bullet"/>
      <w:lvlText w:val="•"/>
      <w:lvlJc w:val="left"/>
      <w:pPr>
        <w:ind w:left="7812" w:hanging="360"/>
      </w:pPr>
      <w:rPr>
        <w:rFonts w:hint="default"/>
        <w:lang w:val="en-US" w:eastAsia="en-US" w:bidi="en-US"/>
      </w:rPr>
    </w:lvl>
  </w:abstractNum>
  <w:abstractNum w:abstractNumId="1" w15:restartNumberingAfterBreak="0">
    <w:nsid w:val="12F0410E"/>
    <w:multiLevelType w:val="hybridMultilevel"/>
    <w:tmpl w:val="F552CCBE"/>
    <w:lvl w:ilvl="0" w:tplc="141A9B9C">
      <w:start w:val="1"/>
      <w:numFmt w:val="decimal"/>
      <w:lvlText w:val="%1."/>
      <w:lvlJc w:val="left"/>
      <w:pPr>
        <w:ind w:left="320" w:hanging="221"/>
        <w:jc w:val="left"/>
      </w:pPr>
      <w:rPr>
        <w:rFonts w:ascii="Calibri" w:eastAsia="Calibri" w:hAnsi="Calibri" w:cs="Calibri" w:hint="default"/>
        <w:b/>
        <w:bCs/>
        <w:w w:val="100"/>
        <w:sz w:val="22"/>
        <w:szCs w:val="22"/>
        <w:lang w:val="en-US" w:eastAsia="en-US" w:bidi="en-US"/>
      </w:rPr>
    </w:lvl>
    <w:lvl w:ilvl="1" w:tplc="1E8071B4">
      <w:numFmt w:val="bullet"/>
      <w:lvlText w:val=""/>
      <w:lvlJc w:val="left"/>
      <w:pPr>
        <w:ind w:left="820" w:hanging="360"/>
      </w:pPr>
      <w:rPr>
        <w:rFonts w:hint="default"/>
        <w:w w:val="99"/>
        <w:lang w:val="en-US" w:eastAsia="en-US" w:bidi="en-US"/>
      </w:rPr>
    </w:lvl>
    <w:lvl w:ilvl="2" w:tplc="8B9AF732">
      <w:numFmt w:val="bullet"/>
      <w:lvlText w:val="•"/>
      <w:lvlJc w:val="left"/>
      <w:pPr>
        <w:ind w:left="1791" w:hanging="360"/>
      </w:pPr>
      <w:rPr>
        <w:rFonts w:hint="default"/>
        <w:lang w:val="en-US" w:eastAsia="en-US" w:bidi="en-US"/>
      </w:rPr>
    </w:lvl>
    <w:lvl w:ilvl="3" w:tplc="ED8A6BEC">
      <w:numFmt w:val="bullet"/>
      <w:lvlText w:val="•"/>
      <w:lvlJc w:val="left"/>
      <w:pPr>
        <w:ind w:left="2762" w:hanging="360"/>
      </w:pPr>
      <w:rPr>
        <w:rFonts w:hint="default"/>
        <w:lang w:val="en-US" w:eastAsia="en-US" w:bidi="en-US"/>
      </w:rPr>
    </w:lvl>
    <w:lvl w:ilvl="4" w:tplc="C80C20F4">
      <w:numFmt w:val="bullet"/>
      <w:lvlText w:val="•"/>
      <w:lvlJc w:val="left"/>
      <w:pPr>
        <w:ind w:left="3733" w:hanging="360"/>
      </w:pPr>
      <w:rPr>
        <w:rFonts w:hint="default"/>
        <w:lang w:val="en-US" w:eastAsia="en-US" w:bidi="en-US"/>
      </w:rPr>
    </w:lvl>
    <w:lvl w:ilvl="5" w:tplc="A18860CA">
      <w:numFmt w:val="bullet"/>
      <w:lvlText w:val="•"/>
      <w:lvlJc w:val="left"/>
      <w:pPr>
        <w:ind w:left="4704" w:hanging="360"/>
      </w:pPr>
      <w:rPr>
        <w:rFonts w:hint="default"/>
        <w:lang w:val="en-US" w:eastAsia="en-US" w:bidi="en-US"/>
      </w:rPr>
    </w:lvl>
    <w:lvl w:ilvl="6" w:tplc="977ABAD8">
      <w:numFmt w:val="bullet"/>
      <w:lvlText w:val="•"/>
      <w:lvlJc w:val="left"/>
      <w:pPr>
        <w:ind w:left="5675" w:hanging="360"/>
      </w:pPr>
      <w:rPr>
        <w:rFonts w:hint="default"/>
        <w:lang w:val="en-US" w:eastAsia="en-US" w:bidi="en-US"/>
      </w:rPr>
    </w:lvl>
    <w:lvl w:ilvl="7" w:tplc="86B65D1E">
      <w:numFmt w:val="bullet"/>
      <w:lvlText w:val="•"/>
      <w:lvlJc w:val="left"/>
      <w:pPr>
        <w:ind w:left="6646" w:hanging="360"/>
      </w:pPr>
      <w:rPr>
        <w:rFonts w:hint="default"/>
        <w:lang w:val="en-US" w:eastAsia="en-US" w:bidi="en-US"/>
      </w:rPr>
    </w:lvl>
    <w:lvl w:ilvl="8" w:tplc="C0B20C7A">
      <w:numFmt w:val="bullet"/>
      <w:lvlText w:val="•"/>
      <w:lvlJc w:val="left"/>
      <w:pPr>
        <w:ind w:left="7617" w:hanging="360"/>
      </w:pPr>
      <w:rPr>
        <w:rFonts w:hint="default"/>
        <w:lang w:val="en-US" w:eastAsia="en-US" w:bidi="en-US"/>
      </w:rPr>
    </w:lvl>
  </w:abstractNum>
  <w:abstractNum w:abstractNumId="2" w15:restartNumberingAfterBreak="0">
    <w:nsid w:val="20E22AF2"/>
    <w:multiLevelType w:val="hybridMultilevel"/>
    <w:tmpl w:val="A0EACC2C"/>
    <w:lvl w:ilvl="0" w:tplc="3BA80FB2">
      <w:numFmt w:val="bullet"/>
      <w:lvlText w:val="-"/>
      <w:lvlJc w:val="left"/>
      <w:pPr>
        <w:ind w:left="820" w:hanging="360"/>
      </w:pPr>
      <w:rPr>
        <w:rFonts w:ascii="Calibri" w:eastAsia="Calibri" w:hAnsi="Calibri" w:cs="Calibri" w:hint="default"/>
        <w:color w:val="272423"/>
        <w:w w:val="100"/>
        <w:sz w:val="22"/>
        <w:szCs w:val="22"/>
        <w:lang w:val="en-US" w:eastAsia="en-US" w:bidi="en-US"/>
      </w:rPr>
    </w:lvl>
    <w:lvl w:ilvl="1" w:tplc="67DCC806">
      <w:numFmt w:val="bullet"/>
      <w:lvlText w:val="•"/>
      <w:lvlJc w:val="left"/>
      <w:pPr>
        <w:ind w:left="1694" w:hanging="360"/>
      </w:pPr>
      <w:rPr>
        <w:rFonts w:hint="default"/>
        <w:lang w:val="en-US" w:eastAsia="en-US" w:bidi="en-US"/>
      </w:rPr>
    </w:lvl>
    <w:lvl w:ilvl="2" w:tplc="12F2179C">
      <w:numFmt w:val="bullet"/>
      <w:lvlText w:val="•"/>
      <w:lvlJc w:val="left"/>
      <w:pPr>
        <w:ind w:left="2568" w:hanging="360"/>
      </w:pPr>
      <w:rPr>
        <w:rFonts w:hint="default"/>
        <w:lang w:val="en-US" w:eastAsia="en-US" w:bidi="en-US"/>
      </w:rPr>
    </w:lvl>
    <w:lvl w:ilvl="3" w:tplc="2B548078">
      <w:numFmt w:val="bullet"/>
      <w:lvlText w:val="•"/>
      <w:lvlJc w:val="left"/>
      <w:pPr>
        <w:ind w:left="3442" w:hanging="360"/>
      </w:pPr>
      <w:rPr>
        <w:rFonts w:hint="default"/>
        <w:lang w:val="en-US" w:eastAsia="en-US" w:bidi="en-US"/>
      </w:rPr>
    </w:lvl>
    <w:lvl w:ilvl="4" w:tplc="06F2CF68">
      <w:numFmt w:val="bullet"/>
      <w:lvlText w:val="•"/>
      <w:lvlJc w:val="left"/>
      <w:pPr>
        <w:ind w:left="4316" w:hanging="360"/>
      </w:pPr>
      <w:rPr>
        <w:rFonts w:hint="default"/>
        <w:lang w:val="en-US" w:eastAsia="en-US" w:bidi="en-US"/>
      </w:rPr>
    </w:lvl>
    <w:lvl w:ilvl="5" w:tplc="8842E61E">
      <w:numFmt w:val="bullet"/>
      <w:lvlText w:val="•"/>
      <w:lvlJc w:val="left"/>
      <w:pPr>
        <w:ind w:left="5190" w:hanging="360"/>
      </w:pPr>
      <w:rPr>
        <w:rFonts w:hint="default"/>
        <w:lang w:val="en-US" w:eastAsia="en-US" w:bidi="en-US"/>
      </w:rPr>
    </w:lvl>
    <w:lvl w:ilvl="6" w:tplc="A978DEA0">
      <w:numFmt w:val="bullet"/>
      <w:lvlText w:val="•"/>
      <w:lvlJc w:val="left"/>
      <w:pPr>
        <w:ind w:left="6064" w:hanging="360"/>
      </w:pPr>
      <w:rPr>
        <w:rFonts w:hint="default"/>
        <w:lang w:val="en-US" w:eastAsia="en-US" w:bidi="en-US"/>
      </w:rPr>
    </w:lvl>
    <w:lvl w:ilvl="7" w:tplc="46AC8502">
      <w:numFmt w:val="bullet"/>
      <w:lvlText w:val="•"/>
      <w:lvlJc w:val="left"/>
      <w:pPr>
        <w:ind w:left="6938" w:hanging="360"/>
      </w:pPr>
      <w:rPr>
        <w:rFonts w:hint="default"/>
        <w:lang w:val="en-US" w:eastAsia="en-US" w:bidi="en-US"/>
      </w:rPr>
    </w:lvl>
    <w:lvl w:ilvl="8" w:tplc="185E3E28">
      <w:numFmt w:val="bullet"/>
      <w:lvlText w:val="•"/>
      <w:lvlJc w:val="left"/>
      <w:pPr>
        <w:ind w:left="7812" w:hanging="360"/>
      </w:pPr>
      <w:rPr>
        <w:rFonts w:hint="default"/>
        <w:lang w:val="en-US" w:eastAsia="en-US" w:bidi="en-US"/>
      </w:rPr>
    </w:lvl>
  </w:abstractNum>
  <w:abstractNum w:abstractNumId="3" w15:restartNumberingAfterBreak="0">
    <w:nsid w:val="7B2A5FD2"/>
    <w:multiLevelType w:val="hybridMultilevel"/>
    <w:tmpl w:val="90CED802"/>
    <w:lvl w:ilvl="0" w:tplc="7ACEC0FE">
      <w:numFmt w:val="bullet"/>
      <w:lvlText w:val="-"/>
      <w:lvlJc w:val="left"/>
      <w:pPr>
        <w:ind w:left="820" w:hanging="360"/>
      </w:pPr>
      <w:rPr>
        <w:rFonts w:ascii="Calibri" w:eastAsia="Calibri" w:hAnsi="Calibri" w:cs="Calibri" w:hint="default"/>
        <w:w w:val="100"/>
        <w:sz w:val="22"/>
        <w:szCs w:val="22"/>
        <w:lang w:val="en-US" w:eastAsia="en-US" w:bidi="en-US"/>
      </w:rPr>
    </w:lvl>
    <w:lvl w:ilvl="1" w:tplc="445CFA20">
      <w:numFmt w:val="bullet"/>
      <w:lvlText w:val="•"/>
      <w:lvlJc w:val="left"/>
      <w:pPr>
        <w:ind w:left="1694" w:hanging="360"/>
      </w:pPr>
      <w:rPr>
        <w:rFonts w:hint="default"/>
        <w:lang w:val="en-US" w:eastAsia="en-US" w:bidi="en-US"/>
      </w:rPr>
    </w:lvl>
    <w:lvl w:ilvl="2" w:tplc="61DC98BA">
      <w:numFmt w:val="bullet"/>
      <w:lvlText w:val="•"/>
      <w:lvlJc w:val="left"/>
      <w:pPr>
        <w:ind w:left="2568" w:hanging="360"/>
      </w:pPr>
      <w:rPr>
        <w:rFonts w:hint="default"/>
        <w:lang w:val="en-US" w:eastAsia="en-US" w:bidi="en-US"/>
      </w:rPr>
    </w:lvl>
    <w:lvl w:ilvl="3" w:tplc="A8008B72">
      <w:numFmt w:val="bullet"/>
      <w:lvlText w:val="•"/>
      <w:lvlJc w:val="left"/>
      <w:pPr>
        <w:ind w:left="3442" w:hanging="360"/>
      </w:pPr>
      <w:rPr>
        <w:rFonts w:hint="default"/>
        <w:lang w:val="en-US" w:eastAsia="en-US" w:bidi="en-US"/>
      </w:rPr>
    </w:lvl>
    <w:lvl w:ilvl="4" w:tplc="1A4E8F3C">
      <w:numFmt w:val="bullet"/>
      <w:lvlText w:val="•"/>
      <w:lvlJc w:val="left"/>
      <w:pPr>
        <w:ind w:left="4316" w:hanging="360"/>
      </w:pPr>
      <w:rPr>
        <w:rFonts w:hint="default"/>
        <w:lang w:val="en-US" w:eastAsia="en-US" w:bidi="en-US"/>
      </w:rPr>
    </w:lvl>
    <w:lvl w:ilvl="5" w:tplc="59E8B5BC">
      <w:numFmt w:val="bullet"/>
      <w:lvlText w:val="•"/>
      <w:lvlJc w:val="left"/>
      <w:pPr>
        <w:ind w:left="5190" w:hanging="360"/>
      </w:pPr>
      <w:rPr>
        <w:rFonts w:hint="default"/>
        <w:lang w:val="en-US" w:eastAsia="en-US" w:bidi="en-US"/>
      </w:rPr>
    </w:lvl>
    <w:lvl w:ilvl="6" w:tplc="695C4CC0">
      <w:numFmt w:val="bullet"/>
      <w:lvlText w:val="•"/>
      <w:lvlJc w:val="left"/>
      <w:pPr>
        <w:ind w:left="6064" w:hanging="360"/>
      </w:pPr>
      <w:rPr>
        <w:rFonts w:hint="default"/>
        <w:lang w:val="en-US" w:eastAsia="en-US" w:bidi="en-US"/>
      </w:rPr>
    </w:lvl>
    <w:lvl w:ilvl="7" w:tplc="D4D22C7A">
      <w:numFmt w:val="bullet"/>
      <w:lvlText w:val="•"/>
      <w:lvlJc w:val="left"/>
      <w:pPr>
        <w:ind w:left="6938" w:hanging="360"/>
      </w:pPr>
      <w:rPr>
        <w:rFonts w:hint="default"/>
        <w:lang w:val="en-US" w:eastAsia="en-US" w:bidi="en-US"/>
      </w:rPr>
    </w:lvl>
    <w:lvl w:ilvl="8" w:tplc="934674AA">
      <w:numFmt w:val="bullet"/>
      <w:lvlText w:val="•"/>
      <w:lvlJc w:val="left"/>
      <w:pPr>
        <w:ind w:left="7812"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2C3A"/>
    <w:rsid w:val="000133EC"/>
    <w:rsid w:val="00335917"/>
    <w:rsid w:val="003546A4"/>
    <w:rsid w:val="00612C3A"/>
    <w:rsid w:val="00D30690"/>
    <w:rsid w:val="00EB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2D96E9"/>
  <w15:docId w15:val="{10CD1670-1CD6-4059-A484-AE67297B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23" w:hanging="223"/>
      <w:outlineLvl w:val="0"/>
    </w:pPr>
    <w:rPr>
      <w:b/>
      <w:bCs/>
    </w:rPr>
  </w:style>
  <w:style w:type="paragraph" w:styleId="Heading3">
    <w:name w:val="heading 3"/>
    <w:basedOn w:val="Normal"/>
    <w:next w:val="Normal"/>
    <w:link w:val="Heading3Char"/>
    <w:uiPriority w:val="9"/>
    <w:semiHidden/>
    <w:unhideWhenUsed/>
    <w:qFormat/>
    <w:rsid w:val="00D306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06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D30690"/>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D30690"/>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D3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ham@dreamarts.org.uk" TargetMode="External"/><Relationship Id="rId4" Type="http://schemas.openxmlformats.org/officeDocument/2006/relationships/webSettings" Target="webSettings.xml"/><Relationship Id="rId9" Type="http://schemas.openxmlformats.org/officeDocument/2006/relationships/hyperlink" Target="mailto:graham@dream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Whitlock</dc:creator>
  <cp:lastModifiedBy>thomas herreboudt</cp:lastModifiedBy>
  <cp:revision>3</cp:revision>
  <dcterms:created xsi:type="dcterms:W3CDTF">2019-08-19T13:27:00Z</dcterms:created>
  <dcterms:modified xsi:type="dcterms:W3CDTF">2019-11-13T15:16:00Z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2013</vt:lpwstr>
  </property>
  <property fmtid="{D5CDD505-2E9C-101B-9397-08002B2CF9AE}" pid="4" name="LastSaved">
    <vt:filetime>2019-08-19T00:00:00Z</vt:filetime>
  </property>
</Properties>
</file>